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spacing w:line="600" w:lineRule="exact"/>
        <w:jc w:val="both"/>
        <w:rPr>
          <w:rFonts w:hint="eastAsia" w:ascii="黑体" w:hAnsi="黑体" w:eastAsia="黑体" w:cs="黑体"/>
          <w:sz w:val="32"/>
          <w:szCs w:val="32"/>
        </w:rPr>
      </w:pPr>
    </w:p>
    <w:p>
      <w:pPr>
        <w:spacing w:line="60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第</w:t>
      </w:r>
      <w:r>
        <w:rPr>
          <w:rFonts w:hint="eastAsia" w:ascii="方正小标宋简体" w:hAnsi="方正小标宋简体" w:eastAsia="方正小标宋简体" w:cs="方正小标宋简体"/>
          <w:sz w:val="44"/>
          <w:szCs w:val="44"/>
        </w:rPr>
        <w:t>140</w:t>
      </w:r>
      <w:r>
        <w:rPr>
          <w:rFonts w:hint="eastAsia" w:ascii="方正小标宋简体" w:hAnsi="方正小标宋简体" w:eastAsia="方正小标宋简体" w:cs="方正小标宋简体"/>
          <w:b w:val="0"/>
          <w:bCs w:val="0"/>
          <w:sz w:val="44"/>
          <w:szCs w:val="44"/>
        </w:rPr>
        <w:t>届广交会音乐美食节D区活动</w:t>
      </w:r>
    </w:p>
    <w:p>
      <w:pPr>
        <w:spacing w:line="60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合作伙伴</w:t>
      </w:r>
      <w:r>
        <w:rPr>
          <w:rFonts w:hint="eastAsia" w:ascii="方正小标宋简体" w:hAnsi="方正小标宋简体" w:eastAsia="方正小标宋简体" w:cs="方正小标宋简体"/>
          <w:b w:val="0"/>
          <w:bCs w:val="0"/>
          <w:sz w:val="44"/>
          <w:szCs w:val="44"/>
        </w:rPr>
        <w:t>遴选需求书</w:t>
      </w:r>
    </w:p>
    <w:p>
      <w:pPr>
        <w:ind w:firstLine="640" w:firstLineChars="200"/>
        <w:rPr>
          <w:rFonts w:hint="eastAsia" w:ascii="方正小标宋简体" w:hAnsi="方正小标宋简体" w:eastAsia="方正小标宋简体" w:cs="方正小标宋简体"/>
          <w:sz w:val="32"/>
          <w:szCs w:val="32"/>
        </w:rPr>
      </w:pPr>
    </w:p>
    <w:p>
      <w:pPr>
        <w:ind w:firstLine="640" w:firstLineChars="200"/>
      </w:pPr>
      <w:r>
        <w:rPr>
          <w:rFonts w:hint="eastAsia" w:ascii="仿宋_GB2312" w:hAnsi="仿宋_GB2312" w:eastAsia="仿宋_GB2312" w:cs="仿宋_GB2312"/>
          <w:sz w:val="32"/>
          <w:szCs w:val="32"/>
        </w:rPr>
        <w:t>广交会音乐美食节是集音乐表演、美食文化、互动体验于一体</w:t>
      </w:r>
      <w:r>
        <w:rPr>
          <w:rFonts w:hint="eastAsia" w:ascii="仿宋_GB2312" w:hAnsi="仿宋_GB2312" w:eastAsia="仿宋_GB2312" w:cs="仿宋_GB2312"/>
          <w:sz w:val="32"/>
          <w:szCs w:val="32"/>
          <w:lang w:val="en-US" w:eastAsia="zh-CN"/>
        </w:rPr>
        <w:t>的广交会配套活动</w:t>
      </w:r>
      <w:r>
        <w:rPr>
          <w:rFonts w:hint="eastAsia" w:ascii="仿宋_GB2312" w:hAnsi="仿宋_GB2312" w:eastAsia="仿宋_GB2312" w:cs="仿宋_GB2312"/>
          <w:sz w:val="32"/>
          <w:szCs w:val="32"/>
        </w:rPr>
        <w:t>，现面向社会公开遴选具备专业资质与丰富经验的</w:t>
      </w:r>
      <w:r>
        <w:rPr>
          <w:rFonts w:hint="eastAsia" w:ascii="仿宋_GB2312" w:hAnsi="仿宋_GB2312" w:eastAsia="仿宋_GB2312" w:cs="仿宋_GB2312"/>
          <w:sz w:val="32"/>
          <w:szCs w:val="32"/>
          <w:lang w:eastAsia="zh-CN"/>
        </w:rPr>
        <w:t>合作伙伴</w:t>
      </w:r>
      <w:r>
        <w:rPr>
          <w:rFonts w:hint="eastAsia" w:ascii="仿宋_GB2312" w:hAnsi="仿宋_GB2312" w:eastAsia="仿宋_GB2312" w:cs="仿宋_GB2312"/>
          <w:sz w:val="32"/>
          <w:szCs w:val="32"/>
        </w:rPr>
        <w:t>，策划、执行第140届广交会音乐美食节D区活动。</w:t>
      </w:r>
    </w:p>
    <w:p>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广交会音乐美食节背景</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交会音乐美食节由广东广交会新大地会展服务有限公司主办，第137届广交会首次在展馆D区广交会堂西侧中心广场举办广交会音乐美食节“食在广州嘉年华”活动（以下简称D区活动），设立餐饮美食主题内容板块。活动现场，餐饮品牌不仅能现场制作、展示美食，吸引国内外客商品尝购买特色美食产品，还通过活动进一步引流国内外客商到品牌门店进行消费，带动门店收入增长，向境外客商弘扬广州美食文化。D区广交会音乐美食节以“食在广州”为主题已持续举办三届，得到了广泛关注及好评。</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二、活动信息</w:t>
      </w:r>
    </w:p>
    <w:p>
      <w:pPr>
        <w:pStyle w:val="10"/>
        <w:numPr>
          <w:ilvl w:val="0"/>
          <w:numId w:val="2"/>
        </w:numPr>
        <w:ind w:firstLineChars="0"/>
        <w:rPr>
          <w:rFonts w:hint="eastAsia" w:ascii="楷体" w:hAnsi="楷体" w:eastAsia="楷体" w:cs="楷体"/>
          <w:b/>
          <w:bCs/>
          <w:sz w:val="32"/>
          <w:szCs w:val="32"/>
        </w:rPr>
      </w:pPr>
      <w:r>
        <w:rPr>
          <w:rFonts w:hint="eastAsia" w:ascii="楷体" w:hAnsi="楷体" w:eastAsia="楷体" w:cs="楷体"/>
          <w:b/>
          <w:bCs/>
          <w:sz w:val="32"/>
          <w:szCs w:val="32"/>
        </w:rPr>
        <w:t>活动时间</w:t>
      </w:r>
    </w:p>
    <w:p>
      <w:pPr>
        <w:pStyle w:val="10"/>
        <w:numPr>
          <w:ilvl w:val="255"/>
          <w:numId w:val="0"/>
        </w:numPr>
        <w:ind w:firstLine="640" w:firstLineChars="200"/>
        <w:rPr>
          <w:rFonts w:hint="eastAsia" w:ascii="仿宋_GB2312" w:hAnsi="仿宋" w:eastAsia="仿宋_GB2312" w:cs="仿宋"/>
          <w:sz w:val="32"/>
          <w:szCs w:val="32"/>
        </w:rPr>
      </w:pPr>
      <w:r>
        <w:rPr>
          <w:rFonts w:hint="eastAsia" w:ascii="仿宋_GB2312" w:hAnsi="仿宋_GB2312" w:eastAsia="仿宋_GB2312" w:cs="仿宋_GB2312"/>
          <w:sz w:val="32"/>
          <w:szCs w:val="32"/>
        </w:rPr>
        <w:t>第140届广交会</w:t>
      </w:r>
      <w:r>
        <w:rPr>
          <w:rFonts w:hint="eastAsia" w:ascii="仿宋_GB2312" w:hAnsi="仿宋" w:eastAsia="仿宋_GB2312" w:cs="仿宋"/>
          <w:sz w:val="32"/>
          <w:szCs w:val="32"/>
        </w:rPr>
        <w:t>每期前4天12:00—18</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00，每期最后一天12:00-14:00。</w:t>
      </w:r>
    </w:p>
    <w:p>
      <w:pPr>
        <w:pStyle w:val="10"/>
        <w:numPr>
          <w:ilvl w:val="0"/>
          <w:numId w:val="2"/>
        </w:numPr>
        <w:ind w:firstLineChars="0"/>
        <w:rPr>
          <w:rFonts w:hint="eastAsia" w:ascii="楷体" w:hAnsi="楷体" w:eastAsia="楷体" w:cs="楷体"/>
          <w:b/>
          <w:bCs/>
          <w:sz w:val="32"/>
          <w:szCs w:val="32"/>
        </w:rPr>
      </w:pPr>
      <w:r>
        <w:rPr>
          <w:rFonts w:hint="eastAsia" w:ascii="楷体" w:hAnsi="楷体" w:eastAsia="楷体" w:cs="楷体"/>
          <w:b/>
          <w:bCs/>
          <w:sz w:val="32"/>
          <w:szCs w:val="32"/>
        </w:rPr>
        <w:t>活动地点</w:t>
      </w:r>
    </w:p>
    <w:p>
      <w:pPr>
        <w:pStyle w:val="10"/>
        <w:numPr>
          <w:ilvl w:val="255"/>
          <w:numId w:val="0"/>
        </w:numPr>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广交会展馆D区广交会堂西侧中心广场。</w:t>
      </w:r>
    </w:p>
    <w:p>
      <w:pPr>
        <w:pStyle w:val="10"/>
        <w:numPr>
          <w:ilvl w:val="0"/>
          <w:numId w:val="2"/>
        </w:numPr>
        <w:ind w:firstLineChars="0"/>
        <w:rPr>
          <w:rFonts w:hint="eastAsia" w:ascii="楷体" w:hAnsi="楷体" w:eastAsia="楷体" w:cs="楷体"/>
          <w:b/>
          <w:bCs/>
          <w:sz w:val="32"/>
          <w:szCs w:val="32"/>
        </w:rPr>
      </w:pPr>
      <w:r>
        <w:rPr>
          <w:rFonts w:hint="eastAsia" w:ascii="楷体" w:hAnsi="楷体" w:eastAsia="楷体" w:cs="楷体"/>
          <w:b/>
          <w:bCs/>
          <w:sz w:val="32"/>
          <w:szCs w:val="32"/>
        </w:rPr>
        <w:t>活动内容</w:t>
      </w:r>
    </w:p>
    <w:p>
      <w:pPr>
        <w:pStyle w:val="10"/>
        <w:numPr>
          <w:ilvl w:val="255"/>
          <w:numId w:val="0"/>
        </w:numPr>
        <w:ind w:firstLine="640" w:firstLineChars="200"/>
        <w:rPr>
          <w:rFonts w:hint="eastAsia" w:ascii="仿宋_GB2312" w:hAnsi="仿宋" w:eastAsia="仿宋_GB2312" w:cs="仿宋"/>
          <w:sz w:val="32"/>
          <w:szCs w:val="32"/>
        </w:rPr>
      </w:pPr>
      <w:r>
        <w:rPr>
          <w:rFonts w:ascii="仿宋_GB2312" w:hAnsi="仿宋" w:eastAsia="仿宋_GB2312" w:cs="仿宋"/>
          <w:sz w:val="32"/>
          <w:szCs w:val="32"/>
        </w:rPr>
        <w:t>重点展示“食在广州”</w:t>
      </w:r>
      <w:r>
        <w:rPr>
          <w:rFonts w:hint="eastAsia" w:ascii="仿宋_GB2312" w:hAnsi="仿宋" w:eastAsia="仿宋_GB2312" w:cs="仿宋"/>
          <w:sz w:val="32"/>
          <w:szCs w:val="32"/>
        </w:rPr>
        <w:t>“食在广东”“粤味21”</w:t>
      </w:r>
      <w:r>
        <w:rPr>
          <w:rFonts w:ascii="仿宋_GB2312" w:hAnsi="仿宋" w:eastAsia="仿宋_GB2312" w:cs="仿宋"/>
          <w:sz w:val="32"/>
          <w:szCs w:val="32"/>
        </w:rPr>
        <w:t>的美食特色文化，以广州</w:t>
      </w:r>
      <w:r>
        <w:rPr>
          <w:rFonts w:hint="eastAsia" w:ascii="仿宋_GB2312" w:hAnsi="仿宋" w:eastAsia="仿宋_GB2312" w:cs="仿宋"/>
          <w:sz w:val="32"/>
          <w:szCs w:val="32"/>
        </w:rPr>
        <w:t>或广东</w:t>
      </w:r>
      <w:r>
        <w:rPr>
          <w:rFonts w:ascii="仿宋_GB2312" w:hAnsi="仿宋" w:eastAsia="仿宋_GB2312" w:cs="仿宋"/>
          <w:sz w:val="32"/>
          <w:szCs w:val="32"/>
        </w:rPr>
        <w:t>知名酒店、星级餐厅为主体，推出广州</w:t>
      </w:r>
      <w:r>
        <w:rPr>
          <w:rFonts w:hint="eastAsia" w:ascii="仿宋_GB2312" w:hAnsi="仿宋" w:eastAsia="仿宋_GB2312" w:cs="仿宋"/>
          <w:sz w:val="32"/>
          <w:szCs w:val="32"/>
        </w:rPr>
        <w:t>或广东</w:t>
      </w:r>
      <w:r>
        <w:rPr>
          <w:rFonts w:ascii="仿宋_GB2312" w:hAnsi="仿宋" w:eastAsia="仿宋_GB2312" w:cs="仿宋"/>
          <w:sz w:val="32"/>
          <w:szCs w:val="32"/>
        </w:rPr>
        <w:t>城市美食文化宣传体验活动。</w:t>
      </w:r>
    </w:p>
    <w:p>
      <w:pPr>
        <w:pStyle w:val="10"/>
        <w:numPr>
          <w:ilvl w:val="255"/>
          <w:numId w:val="0"/>
        </w:numPr>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（四）场地规划</w:t>
      </w:r>
    </w:p>
    <w:p>
      <w:pPr>
        <w:pStyle w:val="10"/>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活动场地共占地面积约</w:t>
      </w:r>
      <w:r>
        <w:rPr>
          <w:rFonts w:hint="eastAsia" w:ascii="仿宋_GB2312" w:hAnsi="仿宋_GB2312" w:eastAsia="仿宋_GB2312" w:cs="仿宋_GB2312"/>
          <w:sz w:val="32"/>
          <w:szCs w:val="32"/>
          <w:lang w:val="en-US" w:eastAsia="zh-CN"/>
        </w:rPr>
        <w:t>4700</w:t>
      </w:r>
      <w:r>
        <w:rPr>
          <w:rFonts w:hint="eastAsia" w:ascii="仿宋_GB2312" w:hAnsi="仿宋_GB2312" w:eastAsia="仿宋_GB2312" w:cs="仿宋_GB2312"/>
          <w:sz w:val="32"/>
          <w:szCs w:val="32"/>
        </w:rPr>
        <w:t>平米，可按功能规划为就餐区、舞台区、引流区、展位区（</w:t>
      </w:r>
      <w:r>
        <w:rPr>
          <w:rFonts w:hint="eastAsia" w:ascii="仿宋_GB2312" w:hAnsi="仿宋_GB2312" w:eastAsia="仿宋_GB2312" w:cs="仿宋_GB2312"/>
          <w:sz w:val="32"/>
          <w:szCs w:val="32"/>
          <w:lang w:val="en-US" w:eastAsia="zh-CN"/>
        </w:rPr>
        <w:t>暂定</w:t>
      </w:r>
      <w:r>
        <w:rPr>
          <w:rFonts w:hint="eastAsia" w:ascii="仿宋_GB2312" w:hAnsi="仿宋_GB2312" w:eastAsia="仿宋_GB2312" w:cs="仿宋_GB2312"/>
          <w:sz w:val="32"/>
          <w:szCs w:val="32"/>
        </w:rPr>
        <w:t>18平米/个，最多40个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具体以实际招商实时调整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三、项目要求</w:t>
      </w:r>
    </w:p>
    <w:p>
      <w:pPr>
        <w:numPr>
          <w:ilvl w:val="0"/>
          <w:numId w:val="3"/>
        </w:numPr>
        <w:rPr>
          <w:rFonts w:hint="eastAsia" w:ascii="楷体" w:hAnsi="楷体" w:eastAsia="楷体" w:cs="楷体"/>
          <w:b/>
          <w:bCs/>
          <w:sz w:val="32"/>
          <w:szCs w:val="32"/>
        </w:rPr>
      </w:pPr>
      <w:r>
        <w:rPr>
          <w:rFonts w:hint="eastAsia" w:ascii="楷体" w:hAnsi="楷体" w:eastAsia="楷体" w:cs="楷体"/>
          <w:b/>
          <w:bCs/>
          <w:sz w:val="32"/>
          <w:szCs w:val="32"/>
        </w:rPr>
        <w:t>主体资格。</w:t>
      </w:r>
    </w:p>
    <w:p>
      <w:pPr>
        <w:numPr>
          <w:ilvl w:val="255"/>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合作伙伴</w:t>
      </w:r>
      <w:r>
        <w:rPr>
          <w:rFonts w:hint="eastAsia" w:ascii="仿宋_GB2312" w:hAnsi="仿宋_GB2312" w:eastAsia="仿宋_GB2312" w:cs="仿宋_GB2312"/>
          <w:sz w:val="32"/>
          <w:szCs w:val="32"/>
        </w:rPr>
        <w:t>具有独立承担民事责任能力的在中华人民共和国境内注册的法人；分公司</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的，必须由具有法人资格的总公司授权。</w:t>
      </w:r>
      <w:r>
        <w:rPr>
          <w:rFonts w:hint="eastAsia" w:ascii="仿宋_GB2312" w:hAnsi="仿宋_GB2312" w:eastAsia="仿宋_GB2312" w:cs="仿宋_GB2312"/>
          <w:b/>
          <w:bCs/>
          <w:sz w:val="32"/>
          <w:szCs w:val="32"/>
          <w:lang w:val="en-US" w:eastAsia="zh-CN"/>
        </w:rPr>
        <w:t>营业执照</w:t>
      </w:r>
      <w:r>
        <w:rPr>
          <w:rFonts w:hint="eastAsia" w:ascii="仿宋_GB2312" w:hAnsi="仿宋_GB2312" w:eastAsia="仿宋_GB2312" w:cs="仿宋_GB2312"/>
          <w:b/>
          <w:bCs/>
          <w:sz w:val="32"/>
          <w:szCs w:val="32"/>
        </w:rPr>
        <w:t>应包含与服务内容匹配的营业范围。</w:t>
      </w:r>
      <w:r>
        <w:rPr>
          <w:rFonts w:hint="eastAsia" w:ascii="仿宋_GB2312" w:hAnsi="仿宋_GB2312" w:eastAsia="仿宋_GB2312" w:cs="仿宋_GB2312"/>
          <w:sz w:val="32"/>
          <w:szCs w:val="32"/>
        </w:rPr>
        <w:t>（提供在中华人民共和国境内有效的执照（或证书）副本、组织机构代码证、税务登记证（国税、地税）复印件或三证合一证明文件复印件证明；分公司</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的，必须提供总公司的营业执照副本复印件及总公司针对本项目</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的授权书证明。）</w:t>
      </w:r>
    </w:p>
    <w:p>
      <w:pPr>
        <w:numPr>
          <w:ilvl w:val="0"/>
          <w:numId w:val="3"/>
        </w:numPr>
        <w:rPr>
          <w:rFonts w:hint="eastAsia" w:ascii="楷体" w:hAnsi="楷体" w:eastAsia="楷体" w:cs="楷体"/>
          <w:b/>
          <w:bCs/>
          <w:sz w:val="32"/>
          <w:szCs w:val="32"/>
        </w:rPr>
      </w:pPr>
      <w:r>
        <w:rPr>
          <w:rFonts w:hint="eastAsia" w:ascii="楷体" w:hAnsi="楷体" w:eastAsia="楷体" w:cs="楷体"/>
          <w:b/>
          <w:bCs/>
          <w:sz w:val="32"/>
          <w:szCs w:val="32"/>
        </w:rPr>
        <w:t>经验要求。</w:t>
      </w:r>
    </w:p>
    <w:p>
      <w:pPr>
        <w:pStyle w:val="14"/>
        <w:numPr>
          <w:ilvl w:val="-1"/>
          <w:numId w:val="0"/>
        </w:num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工商注册时间满</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年，具有</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年以上具备城市级影响力并与在地文化相融合的文旅综合活动的策划与执行经验，具有挖掘及传播在地文化的成功经验，具有实际案例（如拥有在地文化转化的文创产品和宣传及落地的成果经验），拥有自身</w:t>
      </w:r>
      <w:r>
        <w:rPr>
          <w:rFonts w:ascii="仿宋_GB2312" w:hAnsi="仿宋_GB2312" w:eastAsia="仿宋_GB2312" w:cs="仿宋_GB2312"/>
          <w:sz w:val="32"/>
          <w:szCs w:val="32"/>
        </w:rPr>
        <w:t>IP</w:t>
      </w:r>
      <w:r>
        <w:rPr>
          <w:rFonts w:hint="eastAsia" w:ascii="仿宋_GB2312" w:hAnsi="仿宋_GB2312" w:eastAsia="仿宋_GB2312" w:cs="仿宋_GB2312"/>
          <w:sz w:val="32"/>
          <w:szCs w:val="32"/>
        </w:rPr>
        <w:t>及宣传媒体资源，熟悉工作内容及落地流程，且需提供至少</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个同类项目案例（含合同、活动照片及执行总结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媒体报道</w:t>
      </w:r>
      <w:r>
        <w:rPr>
          <w:rFonts w:hint="eastAsia" w:ascii="仿宋_GB2312" w:hAnsi="仿宋_GB2312" w:eastAsia="仿宋_GB2312" w:cs="仿宋_GB2312"/>
          <w:sz w:val="32"/>
          <w:szCs w:val="32"/>
        </w:rPr>
        <w:t>）。</w:t>
      </w:r>
    </w:p>
    <w:p>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合作伙伴</w:t>
      </w:r>
      <w:r>
        <w:rPr>
          <w:rFonts w:hint="eastAsia" w:ascii="仿宋_GB2312" w:hAnsi="仿宋_GB2312" w:eastAsia="仿宋_GB2312" w:cs="仿宋_GB2312"/>
          <w:sz w:val="32"/>
          <w:szCs w:val="32"/>
        </w:rPr>
        <w:t>具有本项目合同履行能力，没有影响其报价、履行合同的相关情形，包括但不限于：受到刑事处罚；被有关部门责令停业、吊销许可证或执照、罚款等行政处罚；财产被接管、冻结、查封；宣告破产或经营管理严重困难；被有关行政主管部门或项目业主取消报价（响应）资格且在处罚期内；近三年（2023年1月1日至今）内发生骗取中标、严重违约和重大质量、安全生产事故等问题。</w:t>
      </w:r>
    </w:p>
    <w:p>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合作伙伴</w:t>
      </w:r>
      <w:r>
        <w:rPr>
          <w:rFonts w:hint="eastAsia" w:ascii="仿宋_GB2312" w:hAnsi="仿宋_GB2312" w:eastAsia="仿宋_GB2312" w:cs="仿宋_GB2312"/>
          <w:sz w:val="32"/>
          <w:szCs w:val="32"/>
        </w:rPr>
        <w:t>的负责人为同一人或者存在控股、管理关系的不同单位，禁止同时参与本项目。</w:t>
      </w:r>
    </w:p>
    <w:p>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（五）本项目不接受联合体形式参与。</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四、服务内容</w:t>
      </w:r>
    </w:p>
    <w:p>
      <w:pPr>
        <w:ind w:firstLine="643" w:firstLineChars="200"/>
        <w:rPr>
          <w:rFonts w:hint="eastAsia" w:ascii="仿宋_GB2312" w:hAnsi="仿宋_GB2312" w:eastAsia="楷体" w:cs="仿宋_GB2312"/>
          <w:b/>
          <w:bCs/>
          <w:sz w:val="32"/>
          <w:szCs w:val="32"/>
        </w:rPr>
      </w:pPr>
      <w:r>
        <w:rPr>
          <w:rFonts w:hint="eastAsia" w:ascii="楷体" w:hAnsi="楷体" w:eastAsia="楷体" w:cs="楷体"/>
          <w:b/>
          <w:bCs/>
          <w:sz w:val="32"/>
          <w:szCs w:val="32"/>
        </w:rPr>
        <w:t>（一）活动策划与方案拟定。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制定整体活动方案（含主题、主视觉系统、形式、流程、预算等），设计音乐表演、美食展销、互动体验等专项子方案。</w:t>
      </w:r>
    </w:p>
    <w:p>
      <w:pPr>
        <w:ind w:firstLine="643" w:firstLineChars="200"/>
        <w:rPr>
          <w:rFonts w:hint="eastAsia" w:ascii="仿宋_GB2312" w:hAnsi="仿宋_GB2312" w:eastAsia="楷体" w:cs="仿宋_GB2312"/>
          <w:b/>
          <w:bCs/>
          <w:sz w:val="32"/>
          <w:szCs w:val="32"/>
        </w:rPr>
      </w:pPr>
      <w:r>
        <w:rPr>
          <w:rFonts w:hint="eastAsia" w:ascii="楷体" w:hAnsi="楷体" w:eastAsia="楷体" w:cs="楷体"/>
          <w:b/>
          <w:bCs/>
          <w:sz w:val="32"/>
          <w:szCs w:val="32"/>
        </w:rPr>
        <w:t>（二）招商管理。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活动招商工作，包括但不限于：美食展位招商（含品牌筛选、合同签订、费用收取），活动参与商户必须是广州区域或广东省内注册并实体经营的企业，以住宿餐饮企业为主，具备中华老字号、省市老字号称号的品牌餐饮企业，或者是经官方认定的“食在广州”星级餐厅，食品饮料类的中国品牌 ；其余包括文旅推广、“必购必带”和茶饮等相关类别商家，我方将按高标准、严要求进行审定把关。制定招商政策、权益回报及费用明细方案。</w:t>
      </w:r>
    </w:p>
    <w:p>
      <w:pPr>
        <w:ind w:firstLine="643" w:firstLineChars="200"/>
        <w:rPr>
          <w:rFonts w:hint="eastAsia" w:ascii="仿宋_GB2312" w:hAnsi="仿宋_GB2312" w:eastAsia="楷体" w:cs="仿宋_GB2312"/>
          <w:b/>
          <w:bCs/>
          <w:sz w:val="32"/>
          <w:szCs w:val="32"/>
          <w:lang w:eastAsia="zh-CN"/>
        </w:rPr>
      </w:pPr>
      <w:r>
        <w:rPr>
          <w:rFonts w:hint="eastAsia" w:ascii="楷体" w:hAnsi="楷体" w:eastAsia="楷体" w:cs="楷体"/>
          <w:b/>
          <w:bCs/>
          <w:sz w:val="32"/>
          <w:szCs w:val="32"/>
        </w:rPr>
        <w:t>（三）活动内容与现场执行</w:t>
      </w:r>
      <w:r>
        <w:rPr>
          <w:rFonts w:hint="eastAsia" w:ascii="楷体" w:hAnsi="楷体" w:eastAsia="楷体" w:cs="楷体"/>
          <w:b/>
          <w:bCs/>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详细活动时间表（含开幕式、品牌之夜、活动演绎、互动体验等）、人员分工及物资清单，并负责活动的相应费用。安排人员负责统筹场地布置、设备租赁、舞台及展位搭建、安保消防、活动跟进等现场执行工作。</w:t>
      </w:r>
    </w:p>
    <w:p>
      <w:pPr>
        <w:ind w:firstLine="643" w:firstLineChars="200"/>
        <w:rPr>
          <w:rFonts w:hint="eastAsia" w:ascii="仿宋_GB2312" w:hAnsi="仿宋_GB2312" w:eastAsia="楷体" w:cs="仿宋_GB2312"/>
          <w:b/>
          <w:bCs/>
          <w:sz w:val="32"/>
          <w:szCs w:val="32"/>
          <w:lang w:eastAsia="zh-CN"/>
        </w:rPr>
      </w:pPr>
      <w:r>
        <w:rPr>
          <w:rFonts w:hint="eastAsia" w:ascii="楷体" w:hAnsi="楷体" w:eastAsia="楷体" w:cs="楷体"/>
          <w:b/>
          <w:bCs/>
          <w:sz w:val="32"/>
          <w:szCs w:val="32"/>
        </w:rPr>
        <w:t>（四）宣传推广</w:t>
      </w:r>
      <w:r>
        <w:rPr>
          <w:rFonts w:hint="eastAsia" w:ascii="楷体" w:hAnsi="楷体" w:eastAsia="楷体" w:cs="楷体"/>
          <w:b/>
          <w:bCs/>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计线上线下宣传方案（含社交媒体、户外广告、媒体合作等），活动应以“广交会音乐美食节食在广州或食在广东”为主体宣推，需要符合广交会宣推规范要求，同时需要符合活动指导单位（暂列市商务局、市市场监督管理局、市文旅局）对活动的定义、定位诉求。负责活动新闻稿撰写及媒体邀请、制作活动宣传物料（海报、视频、H5等）、邀请及组织管理美食达人。</w:t>
      </w:r>
    </w:p>
    <w:p>
      <w:pPr>
        <w:ind w:firstLine="643" w:firstLineChars="200"/>
        <w:rPr>
          <w:rFonts w:hint="eastAsia" w:ascii="仿宋_GB2312" w:hAnsi="仿宋_GB2312" w:eastAsia="仿宋_GB2312" w:cs="仿宋_GB2312"/>
          <w:b/>
          <w:bCs/>
          <w:sz w:val="32"/>
          <w:szCs w:val="32"/>
          <w:lang w:val="en-US" w:eastAsia="zh-CN"/>
        </w:rPr>
      </w:pPr>
      <w:r>
        <w:rPr>
          <w:rFonts w:hint="eastAsia" w:ascii="楷体" w:hAnsi="楷体" w:eastAsia="楷体" w:cs="楷体"/>
          <w:b/>
          <w:bCs/>
          <w:sz w:val="32"/>
          <w:szCs w:val="32"/>
        </w:rPr>
        <w:t>（五）现场氛围设计</w:t>
      </w:r>
      <w:r>
        <w:rPr>
          <w:rFonts w:hint="eastAsia" w:ascii="楷体" w:hAnsi="楷体" w:eastAsia="楷体" w:cs="楷体"/>
          <w:b/>
          <w:bCs/>
          <w:sz w:val="32"/>
          <w:szCs w:val="32"/>
          <w:lang w:val="en-US" w:eastAsia="zh-CN"/>
        </w:rPr>
        <w:t>及搭建</w:t>
      </w:r>
      <w:r>
        <w:rPr>
          <w:rFonts w:hint="eastAsia" w:ascii="仿宋_GB2312" w:hAnsi="仿宋_GB2312" w:eastAsia="仿宋_GB2312" w:cs="仿宋_GB2312"/>
          <w:b/>
          <w:bCs/>
          <w:sz w:val="32"/>
          <w:szCs w:val="32"/>
          <w:lang w:val="en-US" w:eastAsia="zh-CN"/>
        </w:rPr>
        <w:t>。</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结合</w:t>
      </w:r>
      <w:r>
        <w:rPr>
          <w:rFonts w:hint="eastAsia" w:ascii="仿宋_GB2312" w:hAnsi="仿宋_GB2312" w:eastAsia="仿宋_GB2312" w:cs="仿宋_GB2312"/>
          <w:sz w:val="32"/>
          <w:szCs w:val="32"/>
          <w:lang w:val="en-US" w:eastAsia="zh-CN"/>
        </w:rPr>
        <w:t>主办方要求，及</w:t>
      </w:r>
      <w:r>
        <w:rPr>
          <w:rFonts w:hint="eastAsia" w:ascii="仿宋_GB2312" w:hAnsi="仿宋_GB2312" w:eastAsia="仿宋_GB2312" w:cs="仿宋_GB2312"/>
          <w:sz w:val="32"/>
          <w:szCs w:val="32"/>
        </w:rPr>
        <w:t>已确定的主题视觉系统（VI）、</w:t>
      </w:r>
      <w:r>
        <w:rPr>
          <w:rFonts w:hint="eastAsia" w:ascii="仿宋_GB2312" w:hAnsi="仿宋_GB2312" w:eastAsia="仿宋_GB2312" w:cs="仿宋_GB2312"/>
          <w:sz w:val="32"/>
          <w:szCs w:val="32"/>
          <w:lang w:val="en-US" w:eastAsia="zh-CN"/>
        </w:rPr>
        <w:t>设计</w:t>
      </w:r>
      <w:r>
        <w:rPr>
          <w:rFonts w:hint="eastAsia" w:ascii="仿宋_GB2312" w:hAnsi="仿宋_GB2312" w:eastAsia="仿宋_GB2312" w:cs="仿宋_GB2312"/>
          <w:sz w:val="32"/>
          <w:szCs w:val="32"/>
        </w:rPr>
        <w:t>灯光音效、互动装置、展位、舞台等，营造沉浸式体验场景。</w:t>
      </w:r>
      <w:r>
        <w:rPr>
          <w:rFonts w:hint="eastAsia" w:ascii="仿宋_GB2312" w:hAnsi="仿宋_GB2312" w:eastAsia="仿宋_GB2312" w:cs="仿宋_GB2312"/>
          <w:sz w:val="32"/>
          <w:szCs w:val="32"/>
          <w:lang w:val="en-US" w:eastAsia="zh-CN"/>
        </w:rPr>
        <w:t>负责现场整体氛围的搭建及执行，按照双方已审核过的预算对现场搭建部分进行监督管理，确保按预算及效果执行。</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五、合作模式</w:t>
      </w:r>
    </w:p>
    <w:p>
      <w:pPr>
        <w:numPr>
          <w:ilvl w:val="0"/>
          <w:numId w:val="4"/>
        </w:numPr>
        <w:rPr>
          <w:rFonts w:hint="eastAsia" w:ascii="楷体" w:hAnsi="楷体" w:eastAsia="楷体" w:cs="楷体"/>
          <w:b/>
          <w:bCs/>
          <w:sz w:val="32"/>
          <w:szCs w:val="32"/>
        </w:rPr>
      </w:pPr>
      <w:r>
        <w:rPr>
          <w:rFonts w:hint="eastAsia" w:ascii="楷体" w:hAnsi="楷体" w:eastAsia="楷体" w:cs="楷体"/>
          <w:b/>
          <w:bCs/>
          <w:sz w:val="32"/>
          <w:szCs w:val="32"/>
        </w:rPr>
        <w:t>角色定位</w:t>
      </w:r>
      <w:r>
        <w:rPr>
          <w:rFonts w:hint="eastAsia" w:ascii="楷体" w:hAnsi="楷体" w:eastAsia="楷体" w:cs="楷体"/>
          <w:b/>
          <w:bCs/>
          <w:sz w:val="32"/>
          <w:szCs w:val="32"/>
          <w:lang w:eastAsia="zh-CN"/>
        </w:rPr>
        <w:t>。</w:t>
      </w:r>
    </w:p>
    <w:p>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合作伙伴</w:t>
      </w:r>
      <w:r>
        <w:rPr>
          <w:rFonts w:hint="eastAsia" w:ascii="仿宋_GB2312" w:hAnsi="仿宋_GB2312" w:eastAsia="仿宋_GB2312" w:cs="仿宋_GB2312"/>
          <w:sz w:val="32"/>
          <w:szCs w:val="32"/>
        </w:rPr>
        <w:t>作为协办单位，</w:t>
      </w:r>
      <w:r>
        <w:rPr>
          <w:rFonts w:hint="eastAsia" w:ascii="仿宋_GB2312" w:hAnsi="仿宋_GB2312" w:eastAsia="仿宋_GB2312" w:cs="仿宋_GB2312"/>
          <w:sz w:val="32"/>
          <w:szCs w:val="32"/>
          <w:lang w:val="en-US" w:eastAsia="zh-CN"/>
        </w:rPr>
        <w:t>与主办方</w:t>
      </w:r>
      <w:r>
        <w:rPr>
          <w:rFonts w:hint="eastAsia" w:ascii="仿宋_GB2312" w:hAnsi="仿宋_GB2312" w:eastAsia="仿宋_GB2312" w:cs="仿宋_GB2312"/>
          <w:sz w:val="32"/>
          <w:szCs w:val="32"/>
        </w:rPr>
        <w:t>全程参与活动策划、执行与分成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整体活动以量入为出、风险共担的原则开展</w:t>
      </w:r>
      <w:r>
        <w:rPr>
          <w:rFonts w:hint="eastAsia" w:ascii="仿宋_GB2312" w:hAnsi="仿宋_GB2312" w:eastAsia="仿宋_GB2312" w:cs="仿宋_GB2312"/>
          <w:sz w:val="32"/>
          <w:szCs w:val="32"/>
        </w:rPr>
        <w:t>。可以以“广交会音乐美食节协办单位”名义参与对外宣传。</w:t>
      </w:r>
      <w:r>
        <w:rPr>
          <w:rFonts w:hint="eastAsia" w:ascii="仿宋_GB2312" w:hAnsi="仿宋_GB2312" w:eastAsia="仿宋_GB2312" w:cs="仿宋_GB2312"/>
          <w:sz w:val="32"/>
          <w:szCs w:val="32"/>
          <w:lang w:eastAsia="zh-CN"/>
        </w:rPr>
        <w:t>合作伙伴</w:t>
      </w:r>
      <w:r>
        <w:rPr>
          <w:rFonts w:hint="eastAsia" w:ascii="仿宋_GB2312" w:hAnsi="仿宋_GB2312" w:eastAsia="仿宋_GB2312" w:cs="仿宋_GB2312"/>
          <w:sz w:val="32"/>
          <w:szCs w:val="32"/>
        </w:rPr>
        <w:t>需自行承担服务内容的人员、物料、宣传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搭建</w:t>
      </w:r>
      <w:r>
        <w:rPr>
          <w:rFonts w:hint="eastAsia" w:ascii="仿宋_GB2312" w:hAnsi="仿宋_GB2312" w:eastAsia="仿宋_GB2312" w:cs="仿宋_GB2312"/>
          <w:sz w:val="32"/>
          <w:szCs w:val="32"/>
        </w:rPr>
        <w:t>等成本，并确保合规运营。合作伙伴应充分利用自身渠道与资源优势，积极争取各类服务、物资等活动所需配套，支持活动，为活动赋能。</w:t>
      </w:r>
    </w:p>
    <w:p>
      <w:pPr>
        <w:numPr>
          <w:ilvl w:val="255"/>
          <w:numId w:val="0"/>
        </w:numPr>
        <w:ind w:firstLine="643" w:firstLineChars="200"/>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（二）主办方权利义务。</w:t>
      </w:r>
    </w:p>
    <w:p>
      <w:pPr>
        <w:numPr>
          <w:ilvl w:val="255"/>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活动所需场地、安保、保洁、大会办证、食品安全管理等事项由主办方承担，费用进入项目整体支出。场地搭建（含舞台、展位、打卡及引流装置等）费用根据合作伙伴的设计方案确定预算，活动内容执行及宣传根据招商情况确定预算，合作伙伴根据整体收入测算各类预算，报主办方审核。</w:t>
      </w:r>
    </w:p>
    <w:p>
      <w:pPr>
        <w:numPr>
          <w:ilvl w:val="0"/>
          <w:numId w:val="0"/>
        </w:numPr>
        <w:ind w:left="420" w:leftChars="0"/>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三</w:t>
      </w:r>
      <w:r>
        <w:rPr>
          <w:rFonts w:hint="eastAsia" w:ascii="楷体" w:hAnsi="楷体" w:eastAsia="楷体" w:cs="楷体"/>
          <w:b/>
          <w:bCs/>
          <w:sz w:val="32"/>
          <w:szCs w:val="32"/>
          <w:lang w:eastAsia="zh-CN"/>
        </w:rPr>
        <w:t>）</w:t>
      </w:r>
      <w:r>
        <w:rPr>
          <w:rFonts w:hint="eastAsia" w:ascii="楷体" w:hAnsi="楷体" w:eastAsia="楷体" w:cs="楷体"/>
          <w:b/>
          <w:bCs/>
          <w:sz w:val="32"/>
          <w:szCs w:val="32"/>
        </w:rPr>
        <w:t>收益分配</w:t>
      </w:r>
      <w:r>
        <w:rPr>
          <w:rFonts w:hint="eastAsia" w:ascii="楷体" w:hAnsi="楷体" w:eastAsia="楷体" w:cs="楷体"/>
          <w:b/>
          <w:bCs/>
          <w:sz w:val="32"/>
          <w:szCs w:val="32"/>
          <w:lang w:eastAsia="zh-CN"/>
        </w:rPr>
        <w:t>。</w:t>
      </w:r>
    </w:p>
    <w:p>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合作品牌及商家的所有费用应全额汇入主办方指定账户。按实际到账的招商金额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结算完双方硬性支出后，</w:t>
      </w:r>
      <w:r>
        <w:rPr>
          <w:rFonts w:hint="eastAsia" w:ascii="仿宋_GB2312" w:hAnsi="仿宋_GB2312" w:eastAsia="仿宋_GB2312" w:cs="仿宋_GB2312"/>
          <w:sz w:val="32"/>
          <w:szCs w:val="32"/>
        </w:rPr>
        <w:t>向</w:t>
      </w:r>
      <w:r>
        <w:rPr>
          <w:rFonts w:hint="eastAsia" w:ascii="仿宋_GB2312" w:hAnsi="仿宋_GB2312" w:eastAsia="仿宋_GB2312" w:cs="仿宋_GB2312"/>
          <w:sz w:val="32"/>
          <w:szCs w:val="32"/>
          <w:lang w:eastAsia="zh-CN"/>
        </w:rPr>
        <w:t>合作伙伴</w:t>
      </w:r>
      <w:r>
        <w:rPr>
          <w:rFonts w:hint="eastAsia" w:ascii="仿宋_GB2312" w:hAnsi="仿宋_GB2312" w:eastAsia="仿宋_GB2312" w:cs="仿宋_GB2312"/>
          <w:sz w:val="32"/>
          <w:szCs w:val="32"/>
        </w:rPr>
        <w:t>支付</w:t>
      </w:r>
      <w:r>
        <w:rPr>
          <w:rFonts w:hint="eastAsia" w:ascii="仿宋_GB2312" w:hAnsi="仿宋_GB2312" w:eastAsia="仿宋_GB2312" w:cs="仿宋_GB2312"/>
          <w:sz w:val="32"/>
          <w:szCs w:val="32"/>
          <w:lang w:val="en-US" w:eastAsia="zh-CN"/>
        </w:rPr>
        <w:t>项目收益</w:t>
      </w:r>
      <w:r>
        <w:rPr>
          <w:rFonts w:hint="eastAsia" w:ascii="仿宋_GB2312" w:hAnsi="仿宋_GB2312" w:eastAsia="仿宋_GB2312" w:cs="仿宋_GB2312"/>
          <w:sz w:val="32"/>
          <w:szCs w:val="32"/>
        </w:rPr>
        <w:t>（需扣除税金及基础</w:t>
      </w:r>
      <w:r>
        <w:rPr>
          <w:rFonts w:hint="eastAsia" w:ascii="仿宋_GB2312" w:hAnsi="仿宋_GB2312" w:eastAsia="仿宋_GB2312" w:cs="仿宋_GB2312"/>
          <w:sz w:val="32"/>
          <w:szCs w:val="32"/>
          <w:lang w:val="en-US" w:eastAsia="zh-CN"/>
        </w:rPr>
        <w:t>支出</w:t>
      </w:r>
      <w:r>
        <w:rPr>
          <w:rFonts w:hint="eastAsia" w:ascii="仿宋_GB2312" w:hAnsi="仿宋_GB2312" w:eastAsia="仿宋_GB2312" w:cs="仿宋_GB2312"/>
          <w:sz w:val="32"/>
          <w:szCs w:val="32"/>
        </w:rPr>
        <w:t>）。</w:t>
      </w:r>
    </w:p>
    <w:p>
      <w:pPr>
        <w:numPr>
          <w:ilvl w:val="0"/>
          <w:numId w:val="0"/>
        </w:numPr>
        <w:ind w:left="420" w:leftChars="0"/>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四</w:t>
      </w:r>
      <w:r>
        <w:rPr>
          <w:rFonts w:hint="eastAsia" w:ascii="楷体" w:hAnsi="楷体" w:eastAsia="楷体" w:cs="楷体"/>
          <w:b/>
          <w:bCs/>
          <w:sz w:val="32"/>
          <w:szCs w:val="32"/>
          <w:lang w:eastAsia="zh-CN"/>
        </w:rPr>
        <w:t>）</w:t>
      </w:r>
      <w:r>
        <w:rPr>
          <w:rFonts w:hint="eastAsia" w:ascii="楷体" w:hAnsi="楷体" w:eastAsia="楷体" w:cs="楷体"/>
          <w:b/>
          <w:bCs/>
          <w:sz w:val="32"/>
          <w:szCs w:val="32"/>
        </w:rPr>
        <w:t>结算方式。</w:t>
      </w:r>
    </w:p>
    <w:p>
      <w:pPr>
        <w:numPr>
          <w:ilvl w:val="255"/>
          <w:numId w:val="0"/>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活动结束后，结算资料经甲方审核无误之后7个工作日内支付</w:t>
      </w:r>
      <w:r>
        <w:rPr>
          <w:rFonts w:hint="eastAsia" w:ascii="仿宋_GB2312" w:hAnsi="仿宋_GB2312" w:eastAsia="仿宋_GB2312" w:cs="仿宋_GB2312"/>
          <w:sz w:val="32"/>
          <w:szCs w:val="32"/>
          <w:lang w:val="en-US" w:eastAsia="zh-CN"/>
        </w:rPr>
        <w:t>合作伙伴承担的硬性支出及项目收益。</w:t>
      </w:r>
    </w:p>
    <w:p>
      <w:pPr>
        <w:numPr>
          <w:ilvl w:val="0"/>
          <w:numId w:val="5"/>
        </w:numPr>
        <w:ind w:firstLine="640" w:firstLineChars="200"/>
        <w:rPr>
          <w:rFonts w:hint="eastAsia" w:ascii="黑体" w:hAnsi="黑体" w:eastAsia="黑体" w:cs="黑体"/>
          <w:sz w:val="32"/>
          <w:szCs w:val="32"/>
        </w:rPr>
      </w:pPr>
      <w:r>
        <w:rPr>
          <w:rFonts w:hint="eastAsia" w:ascii="黑体" w:hAnsi="黑体" w:eastAsia="黑体" w:cs="黑体"/>
          <w:sz w:val="32"/>
          <w:szCs w:val="32"/>
        </w:rPr>
        <w:t>报价方式及控制价</w:t>
      </w:r>
    </w:p>
    <w:p>
      <w:pPr>
        <w:ind w:firstLine="643" w:firstLineChars="200"/>
        <w:rPr>
          <w:rFonts w:hint="eastAsia" w:ascii="仿宋_GB2312" w:hAnsi="仿宋_GB2312" w:eastAsia="楷体" w:cs="仿宋_GB2312"/>
          <w:sz w:val="32"/>
          <w:szCs w:val="32"/>
          <w:lang w:eastAsia="zh-CN"/>
        </w:rPr>
      </w:pPr>
      <w:r>
        <w:rPr>
          <w:rFonts w:hint="eastAsia" w:ascii="楷体" w:hAnsi="楷体" w:eastAsia="楷体" w:cs="楷体"/>
          <w:b/>
          <w:bCs/>
          <w:sz w:val="32"/>
          <w:szCs w:val="32"/>
        </w:rPr>
        <w:t>（一）招商收入测算</w:t>
      </w:r>
      <w:r>
        <w:rPr>
          <w:rFonts w:hint="eastAsia" w:ascii="楷体" w:hAnsi="楷体" w:eastAsia="楷体" w:cs="楷体"/>
          <w:b/>
          <w:bCs/>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1.展位收入：每个展位招商对外价格暂定为3.</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万元/个（18平米），活动现场最多可设置40个点位。</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2.广告收入：活动现场可设置广告，价格由双方协商而定。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.招商保底数：</w:t>
      </w:r>
      <w:r>
        <w:rPr>
          <w:rFonts w:hint="eastAsia" w:ascii="仿宋_GB2312" w:hAnsi="仿宋_GB2312" w:eastAsia="仿宋_GB2312" w:cs="仿宋_GB2312"/>
          <w:sz w:val="32"/>
          <w:szCs w:val="32"/>
          <w:lang w:eastAsia="zh-CN"/>
        </w:rPr>
        <w:t>合作伙伴</w:t>
      </w:r>
      <w:r>
        <w:rPr>
          <w:rFonts w:hint="eastAsia" w:ascii="仿宋_GB2312" w:hAnsi="仿宋_GB2312" w:eastAsia="仿宋_GB2312" w:cs="仿宋_GB2312"/>
          <w:sz w:val="32"/>
          <w:szCs w:val="32"/>
        </w:rPr>
        <w:t>根据上述收入分类列明活动收入类预算，其中</w:t>
      </w:r>
      <w:r>
        <w:rPr>
          <w:rFonts w:hint="eastAsia" w:ascii="仿宋_GB2312" w:hAnsi="仿宋_GB2312" w:eastAsia="仿宋_GB2312" w:cs="仿宋_GB2312"/>
          <w:sz w:val="32"/>
          <w:szCs w:val="32"/>
          <w:lang w:eastAsia="zh-CN"/>
        </w:rPr>
        <w:t>合作伙伴</w:t>
      </w:r>
      <w:r>
        <w:rPr>
          <w:rFonts w:hint="eastAsia" w:ascii="仿宋_GB2312" w:hAnsi="仿宋_GB2312" w:eastAsia="仿宋_GB2312" w:cs="仿宋_GB2312"/>
          <w:sz w:val="32"/>
          <w:szCs w:val="32"/>
        </w:rPr>
        <w:t>需独立完成保底展位招商数</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家，若未完成</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家，则收益分配为0。</w:t>
      </w:r>
    </w:p>
    <w:p>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（二）费用测算。</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合作伙伴</w:t>
      </w:r>
      <w:r>
        <w:rPr>
          <w:rFonts w:hint="eastAsia" w:ascii="仿宋_GB2312" w:hAnsi="仿宋_GB2312" w:eastAsia="仿宋_GB2312" w:cs="仿宋_GB2312"/>
          <w:sz w:val="32"/>
          <w:szCs w:val="32"/>
        </w:rPr>
        <w:t xml:space="preserve">根据服务内容，分类列明费用预算，费用预算金额与收益分配比例需匹配。   </w:t>
      </w:r>
    </w:p>
    <w:p>
      <w:pPr>
        <w:ind w:firstLine="643" w:firstLineChars="200"/>
        <w:jc w:val="left"/>
        <w:rPr>
          <w:rFonts w:hint="eastAsia" w:ascii="楷体" w:hAnsi="楷体" w:eastAsia="楷体" w:cs="楷体"/>
          <w:b/>
          <w:bCs/>
          <w:sz w:val="32"/>
          <w:szCs w:val="32"/>
        </w:rPr>
      </w:pPr>
      <w:r>
        <w:rPr>
          <w:rFonts w:hint="eastAsia" w:ascii="楷体" w:hAnsi="楷体" w:eastAsia="楷体" w:cs="楷体"/>
          <w:b/>
          <w:bCs/>
          <w:sz w:val="32"/>
          <w:szCs w:val="32"/>
        </w:rPr>
        <w:t xml:space="preserve">（三）控制价。  </w:t>
      </w:r>
      <w:r>
        <w:rPr>
          <w:rFonts w:hint="eastAsia" w:ascii="仿宋_GB2312" w:hAnsi="仿宋_GB2312" w:eastAsia="仿宋_GB2312" w:cs="仿宋_GB2312"/>
          <w:sz w:val="32"/>
          <w:szCs w:val="32"/>
        </w:rPr>
        <w:t xml:space="preserve">             </w:t>
      </w:r>
    </w:p>
    <w:p>
      <w:pPr>
        <w:keepNext w:val="0"/>
        <w:keepLines w:val="0"/>
        <w:pageBreakBefore w:val="0"/>
        <w:widowControl w:val="0"/>
        <w:numPr>
          <w:ilvl w:val="-1"/>
          <w:numId w:val="0"/>
        </w:numPr>
        <w:kinsoku/>
        <w:wordWrap/>
        <w:overflowPunct/>
        <w:topLinePunct w:val="0"/>
        <w:autoSpaceDE/>
        <w:autoSpaceDN/>
        <w:bidi w:val="0"/>
        <w:adjustRightInd/>
        <w:snapToGrid/>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主办方基础成本约**万元（按40个展位招满计划），合作伙伴根据上述测算，填写收益分配比例。收益分配比例指：所有收入扣除双方基础成本后的所剩部分，由主办方及合作伙伴进行分配。</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keepNext w:val="0"/>
        <w:keepLines w:val="0"/>
        <w:pageBreakBefore w:val="0"/>
        <w:widowControl w:val="0"/>
        <w:numPr>
          <w:ilvl w:val="-1"/>
          <w:numId w:val="0"/>
        </w:numPr>
        <w:kinsoku/>
        <w:wordWrap/>
        <w:overflowPunct/>
        <w:topLinePunct w:val="0"/>
        <w:autoSpaceDE/>
        <w:autoSpaceDN/>
        <w:bidi w:val="0"/>
        <w:adjustRightInd/>
        <w:snapToGrid/>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具体如下：</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7"/>
        <w:gridCol w:w="1821"/>
        <w:gridCol w:w="5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484" w:type="pct"/>
            <w:vAlign w:val="top"/>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招商点位数</w:t>
            </w:r>
          </w:p>
        </w:tc>
        <w:tc>
          <w:tcPr>
            <w:tcW w:w="914" w:type="pct"/>
            <w:vAlign w:val="top"/>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分配比例范围</w:t>
            </w:r>
          </w:p>
        </w:tc>
        <w:tc>
          <w:tcPr>
            <w:tcW w:w="2601" w:type="pct"/>
            <w:vAlign w:val="top"/>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pct"/>
            <w:vAlign w:val="top"/>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＜20家</w:t>
            </w:r>
          </w:p>
        </w:tc>
        <w:tc>
          <w:tcPr>
            <w:tcW w:w="914" w:type="pct"/>
            <w:vAlign w:val="top"/>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w:t>
            </w:r>
          </w:p>
        </w:tc>
        <w:tc>
          <w:tcPr>
            <w:tcW w:w="2601" w:type="pct"/>
            <w:vAlign w:val="top"/>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pct"/>
            <w:vAlign w:val="top"/>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≥20家</w:t>
            </w:r>
          </w:p>
        </w:tc>
        <w:tc>
          <w:tcPr>
            <w:tcW w:w="914" w:type="pct"/>
            <w:vAlign w:val="top"/>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45%</w:t>
            </w:r>
          </w:p>
        </w:tc>
        <w:tc>
          <w:tcPr>
            <w:tcW w:w="2601" w:type="pct"/>
            <w:vAlign w:val="center"/>
          </w:tcPr>
          <w:p>
            <w:pPr>
              <w:keepNext w:val="0"/>
              <w:keepLines w:val="0"/>
              <w:pageBreakBefore w:val="0"/>
              <w:widowControl w:val="0"/>
              <w:numPr>
                <w:ilvl w:val="-1"/>
                <w:numId w:val="0"/>
              </w:numPr>
              <w:kinsoku/>
              <w:wordWrap/>
              <w:overflowPunct/>
              <w:topLinePunct w:val="0"/>
              <w:autoSpaceDE/>
              <w:autoSpaceDN/>
              <w:bidi w:val="0"/>
              <w:adjustRightInd/>
              <w:snapToGrid/>
              <w:spacing w:line="440" w:lineRule="exact"/>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广告及主办方确认的</w:t>
            </w:r>
            <w:bookmarkStart w:id="0" w:name="_GoBack"/>
            <w:bookmarkEnd w:id="0"/>
            <w:r>
              <w:rPr>
                <w:rFonts w:hint="eastAsia" w:ascii="宋体" w:hAnsi="宋体" w:eastAsia="宋体" w:cs="宋体"/>
                <w:sz w:val="24"/>
                <w:szCs w:val="24"/>
                <w:vertAlign w:val="baseline"/>
                <w:lang w:val="en-US" w:eastAsia="zh-CN"/>
              </w:rPr>
              <w:t>收入等同于点位收入</w:t>
            </w:r>
          </w:p>
        </w:tc>
      </w:tr>
    </w:tbl>
    <w:p>
      <w:pPr>
        <w:keepNext w:val="0"/>
        <w:keepLines w:val="0"/>
        <w:pageBreakBefore w:val="0"/>
        <w:widowControl w:val="0"/>
        <w:numPr>
          <w:ilvl w:val="-1"/>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最高控制价45%</w:t>
      </w:r>
    </w:p>
    <w:p>
      <w:pPr>
        <w:numPr>
          <w:ilvl w:val="0"/>
          <w:numId w:val="5"/>
        </w:num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评审办法</w:t>
      </w:r>
      <w:r>
        <w:rPr>
          <w:rFonts w:hint="eastAsia" w:ascii="黑体" w:hAnsi="黑体" w:eastAsia="黑体" w:cs="黑体"/>
          <w:sz w:val="32"/>
          <w:szCs w:val="32"/>
        </w:rPr>
        <w:t>建议</w:t>
      </w:r>
    </w:p>
    <w:p>
      <w:pPr>
        <w:autoSpaceDE w:val="0"/>
        <w:autoSpaceDN w:val="0"/>
        <w:adjustRightInd w:val="0"/>
        <w:spacing w:line="360" w:lineRule="auto"/>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经初步评审合格的</w:t>
      </w:r>
      <w:r>
        <w:rPr>
          <w:rFonts w:hint="eastAsia" w:ascii="仿宋_GB2312" w:hAnsi="仿宋_GB2312" w:eastAsia="仿宋_GB2312" w:cs="仿宋_GB2312"/>
          <w:color w:val="000000"/>
          <w:sz w:val="32"/>
          <w:szCs w:val="32"/>
          <w:lang w:eastAsia="zh-CN"/>
        </w:rPr>
        <w:t>响应</w:t>
      </w:r>
      <w:r>
        <w:rPr>
          <w:rFonts w:hint="eastAsia" w:ascii="仿宋_GB2312" w:hAnsi="仿宋_GB2312" w:eastAsia="仿宋_GB2312" w:cs="仿宋_GB2312"/>
          <w:color w:val="000000"/>
          <w:sz w:val="32"/>
          <w:szCs w:val="32"/>
        </w:rPr>
        <w:t>文件，评审小组应对</w:t>
      </w:r>
      <w:r>
        <w:rPr>
          <w:rFonts w:hint="eastAsia" w:ascii="仿宋_GB2312" w:hAnsi="仿宋_GB2312" w:eastAsia="仿宋_GB2312" w:cs="仿宋_GB2312"/>
          <w:color w:val="000000"/>
          <w:sz w:val="32"/>
          <w:szCs w:val="32"/>
          <w:lang w:val="en-US" w:eastAsia="zh-CN"/>
        </w:rPr>
        <w:t>其响应文件</w:t>
      </w:r>
      <w:r>
        <w:rPr>
          <w:rFonts w:hint="eastAsia" w:ascii="仿宋_GB2312" w:hAnsi="仿宋_GB2312" w:eastAsia="仿宋_GB2312" w:cs="仿宋_GB2312"/>
          <w:color w:val="000000"/>
          <w:sz w:val="32"/>
          <w:szCs w:val="32"/>
        </w:rPr>
        <w:t>作进一步评审。</w:t>
      </w:r>
    </w:p>
    <w:tbl>
      <w:tblPr>
        <w:tblStyle w:val="6"/>
        <w:tblW w:w="498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1"/>
        <w:gridCol w:w="1402"/>
        <w:gridCol w:w="706"/>
        <w:gridCol w:w="70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2"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3366"/>
                <w:kern w:val="0"/>
                <w:sz w:val="24"/>
                <w:szCs w:val="24"/>
                <w:u w:val="none"/>
                <w:lang w:val="en-US" w:eastAsia="zh-CN" w:bidi="ar"/>
              </w:rPr>
            </w:pPr>
            <w:r>
              <w:rPr>
                <w:rFonts w:hint="eastAsia" w:ascii="宋体" w:hAnsi="宋体" w:eastAsia="宋体" w:cs="宋体"/>
                <w:b/>
                <w:bCs/>
                <w:i w:val="0"/>
                <w:iCs w:val="0"/>
                <w:color w:val="003366"/>
                <w:kern w:val="0"/>
                <w:sz w:val="24"/>
                <w:szCs w:val="24"/>
                <w:u w:val="none"/>
                <w:lang w:val="en-US" w:eastAsia="zh-CN" w:bidi="ar"/>
              </w:rPr>
              <w:t>评审部分</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333333"/>
                <w:kern w:val="0"/>
                <w:sz w:val="24"/>
                <w:szCs w:val="24"/>
                <w:u w:val="none"/>
                <w:lang w:val="en-US" w:eastAsia="zh-CN" w:bidi="ar"/>
              </w:rPr>
            </w:pPr>
            <w:r>
              <w:rPr>
                <w:rFonts w:hint="eastAsia" w:ascii="宋体" w:hAnsi="宋体" w:eastAsia="宋体" w:cs="宋体"/>
                <w:b/>
                <w:bCs/>
                <w:i w:val="0"/>
                <w:iCs w:val="0"/>
                <w:color w:val="333333"/>
                <w:kern w:val="0"/>
                <w:sz w:val="24"/>
                <w:szCs w:val="24"/>
                <w:u w:val="none"/>
                <w:lang w:val="en-US" w:eastAsia="zh-CN" w:bidi="ar"/>
              </w:rPr>
              <w:t>评分项</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333333"/>
                <w:kern w:val="0"/>
                <w:sz w:val="24"/>
                <w:szCs w:val="24"/>
                <w:u w:val="none"/>
                <w:lang w:val="en-US" w:eastAsia="zh-CN" w:bidi="ar"/>
              </w:rPr>
            </w:pPr>
            <w:r>
              <w:rPr>
                <w:rFonts w:hint="eastAsia" w:ascii="宋体" w:hAnsi="宋体" w:eastAsia="宋体" w:cs="宋体"/>
                <w:b/>
                <w:bCs/>
                <w:i w:val="0"/>
                <w:iCs w:val="0"/>
                <w:color w:val="333333"/>
                <w:kern w:val="0"/>
                <w:sz w:val="24"/>
                <w:szCs w:val="24"/>
                <w:u w:val="none"/>
                <w:lang w:val="en-US" w:eastAsia="zh-CN" w:bidi="ar"/>
              </w:rPr>
              <w:t>分值</w:t>
            </w:r>
          </w:p>
        </w:tc>
        <w:tc>
          <w:tcPr>
            <w:tcW w:w="35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b/>
                <w:bCs/>
                <w:color w:val="auto"/>
                <w:sz w:val="24"/>
                <w:szCs w:val="24"/>
                <w:highlight w:val="none"/>
              </w:rPr>
              <w:t>评审标准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20" w:lineRule="exact"/>
              <w:jc w:val="center"/>
              <w:textAlignment w:val="center"/>
              <w:rPr>
                <w:rFonts w:hint="eastAsia" w:ascii="宋体" w:hAnsi="宋体" w:eastAsia="宋体" w:cs="宋体"/>
                <w:i w:val="0"/>
                <w:iCs w:val="0"/>
                <w:color w:val="003366"/>
                <w:kern w:val="0"/>
                <w:sz w:val="24"/>
                <w:szCs w:val="24"/>
                <w:u w:val="none"/>
                <w:lang w:val="en-US" w:eastAsia="zh-CN" w:bidi="ar"/>
              </w:rPr>
            </w:pPr>
            <w:r>
              <w:rPr>
                <w:rFonts w:hint="eastAsia" w:ascii="宋体" w:hAnsi="宋体" w:eastAsia="宋体" w:cs="宋体"/>
                <w:i w:val="0"/>
                <w:iCs w:val="0"/>
                <w:color w:val="003366"/>
                <w:kern w:val="0"/>
                <w:sz w:val="24"/>
                <w:szCs w:val="24"/>
                <w:u w:val="none"/>
                <w:lang w:val="en-US" w:eastAsia="zh-CN" w:bidi="ar"/>
              </w:rPr>
              <w:t>一、</w:t>
            </w:r>
          </w:p>
          <w:p>
            <w:pPr>
              <w:keepNext w:val="0"/>
              <w:keepLines w:val="0"/>
              <w:widowControl/>
              <w:suppressLineNumbers w:val="0"/>
              <w:spacing w:line="320" w:lineRule="exact"/>
              <w:jc w:val="center"/>
              <w:textAlignment w:val="center"/>
              <w:rPr>
                <w:rFonts w:hint="eastAsia" w:ascii="宋体" w:hAnsi="宋体" w:eastAsia="宋体" w:cs="宋体"/>
                <w:i w:val="0"/>
                <w:iCs w:val="0"/>
                <w:color w:val="003366"/>
                <w:sz w:val="24"/>
                <w:szCs w:val="24"/>
                <w:u w:val="none"/>
              </w:rPr>
            </w:pPr>
            <w:r>
              <w:rPr>
                <w:rFonts w:hint="eastAsia" w:ascii="宋体" w:hAnsi="宋体" w:eastAsia="宋体" w:cs="宋体"/>
                <w:i w:val="0"/>
                <w:iCs w:val="0"/>
                <w:color w:val="003366"/>
                <w:kern w:val="0"/>
                <w:sz w:val="24"/>
                <w:szCs w:val="24"/>
                <w:u w:val="none"/>
                <w:lang w:val="en-US" w:eastAsia="zh-CN" w:bidi="ar"/>
              </w:rPr>
              <w:t>商务部分（75分）</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 对本项目的理解</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20" w:lineRule="exact"/>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w:t>
            </w:r>
          </w:p>
        </w:tc>
        <w:tc>
          <w:tcPr>
            <w:tcW w:w="35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（1）根据对本项目的特点理解的全面性、详细性、准确性进行对比评分，优（对比最优）：2.5分，良（对比一般）：0.5-2.5分，差（对比较差）：0-0.5分。</w:t>
            </w:r>
            <w:r>
              <w:rPr>
                <w:rFonts w:hint="eastAsia" w:ascii="宋体" w:hAnsi="宋体" w:eastAsia="宋体" w:cs="宋体"/>
                <w:i w:val="0"/>
                <w:iCs w:val="0"/>
                <w:color w:val="333333"/>
                <w:kern w:val="0"/>
                <w:sz w:val="24"/>
                <w:szCs w:val="24"/>
                <w:u w:val="none"/>
                <w:lang w:val="en-US" w:eastAsia="zh-CN" w:bidi="ar"/>
              </w:rPr>
              <w:br w:type="textWrapping"/>
            </w:r>
            <w:r>
              <w:rPr>
                <w:rFonts w:hint="eastAsia" w:ascii="宋体" w:hAnsi="宋体" w:eastAsia="宋体" w:cs="宋体"/>
                <w:i w:val="0"/>
                <w:iCs w:val="0"/>
                <w:color w:val="333333"/>
                <w:kern w:val="0"/>
                <w:sz w:val="24"/>
                <w:szCs w:val="24"/>
                <w:u w:val="none"/>
                <w:lang w:val="en-US" w:eastAsia="zh-CN" w:bidi="ar"/>
              </w:rPr>
              <w:t>（2）根据对本项目与其他项目的认知及理解的全面性、详细性、准确性进行对比评分，优（对比最优）：2.5分，良（对比一般）：0.5-2.5分，差（对比较差）：0-0.5分。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5" w:hRule="atLeast"/>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宋体" w:hAnsi="宋体" w:eastAsia="宋体" w:cs="宋体"/>
                <w:i w:val="0"/>
                <w:iCs w:val="0"/>
                <w:color w:val="003366"/>
                <w:sz w:val="24"/>
                <w:szCs w:val="24"/>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2. 活动策划与方案拟定</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20" w:lineRule="exact"/>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10</w:t>
            </w:r>
          </w:p>
        </w:tc>
        <w:tc>
          <w:tcPr>
            <w:tcW w:w="35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（1）根据方案的先进性、针对性、可行性、有效性进行对比评分，优（对比最优）：5分，良（对比一般）：1-5分，差（对比较差）：0-1分。</w:t>
            </w:r>
            <w:r>
              <w:rPr>
                <w:rFonts w:hint="eastAsia" w:ascii="宋体" w:hAnsi="宋体" w:eastAsia="宋体" w:cs="宋体"/>
                <w:i w:val="0"/>
                <w:iCs w:val="0"/>
                <w:color w:val="333333"/>
                <w:kern w:val="0"/>
                <w:sz w:val="24"/>
                <w:szCs w:val="24"/>
                <w:u w:val="none"/>
                <w:lang w:val="en-US" w:eastAsia="zh-CN" w:bidi="ar"/>
              </w:rPr>
              <w:br w:type="textWrapping"/>
            </w:r>
            <w:r>
              <w:rPr>
                <w:rFonts w:hint="eastAsia" w:ascii="宋体" w:hAnsi="宋体" w:eastAsia="宋体" w:cs="宋体"/>
                <w:i w:val="0"/>
                <w:iCs w:val="0"/>
                <w:color w:val="333333"/>
                <w:kern w:val="0"/>
                <w:sz w:val="24"/>
                <w:szCs w:val="24"/>
                <w:u w:val="none"/>
                <w:lang w:val="en-US" w:eastAsia="zh-CN" w:bidi="ar"/>
              </w:rPr>
              <w:t>（2）根据合作伙伴提供的服务经验、综合实力、独特优势等与服务需求的匹配度、契合度进行对比评分，优（对比最优）：5分，良（对比一般）：1-5分，差（对比较差）：0-1分。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6" w:hRule="atLeast"/>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宋体" w:hAnsi="宋体" w:eastAsia="宋体" w:cs="宋体"/>
                <w:i w:val="0"/>
                <w:iCs w:val="0"/>
                <w:color w:val="003366"/>
                <w:sz w:val="24"/>
                <w:szCs w:val="24"/>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 招商管理</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20" w:lineRule="exact"/>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10</w:t>
            </w:r>
          </w:p>
        </w:tc>
        <w:tc>
          <w:tcPr>
            <w:tcW w:w="35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（1）根据方案的先进性、针对性、可行性、有效性进行对比评分，优（对比最优）：5分，良（对比一般）：1-5分，差（对比较差）：0-1分。</w:t>
            </w:r>
            <w:r>
              <w:rPr>
                <w:rFonts w:hint="eastAsia" w:ascii="宋体" w:hAnsi="宋体" w:eastAsia="宋体" w:cs="宋体"/>
                <w:i w:val="0"/>
                <w:iCs w:val="0"/>
                <w:color w:val="333333"/>
                <w:kern w:val="0"/>
                <w:sz w:val="24"/>
                <w:szCs w:val="24"/>
                <w:u w:val="none"/>
                <w:lang w:val="en-US" w:eastAsia="zh-CN" w:bidi="ar"/>
              </w:rPr>
              <w:br w:type="textWrapping"/>
            </w:r>
            <w:r>
              <w:rPr>
                <w:rFonts w:hint="eastAsia" w:ascii="宋体" w:hAnsi="宋体" w:eastAsia="宋体" w:cs="宋体"/>
                <w:i w:val="0"/>
                <w:iCs w:val="0"/>
                <w:color w:val="333333"/>
                <w:kern w:val="0"/>
                <w:sz w:val="24"/>
                <w:szCs w:val="24"/>
                <w:u w:val="none"/>
                <w:lang w:val="en-US" w:eastAsia="zh-CN" w:bidi="ar"/>
              </w:rPr>
              <w:t>（2）根据合作伙伴提供的服务经验、综合实力、独特优势等与服务需求的匹配度、契合度进行对比评分，优（对比最优）：5分，良（对比一般）：1-5分，差（对比较差）：0-1分。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宋体" w:hAnsi="宋体" w:eastAsia="宋体" w:cs="宋体"/>
                <w:i w:val="0"/>
                <w:iCs w:val="0"/>
                <w:color w:val="003366"/>
                <w:sz w:val="24"/>
                <w:szCs w:val="24"/>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4. 活动内容与现场执行</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20" w:lineRule="exact"/>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10</w:t>
            </w:r>
          </w:p>
        </w:tc>
        <w:tc>
          <w:tcPr>
            <w:tcW w:w="35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（1）根据方案的先进性、针对性、可行性、有效性进行对比评分，优（对比最优）：5分，良（对比一般）：1-5分，差（对比较差）：0-1分。</w:t>
            </w:r>
            <w:r>
              <w:rPr>
                <w:rFonts w:hint="eastAsia" w:ascii="宋体" w:hAnsi="宋体" w:eastAsia="宋体" w:cs="宋体"/>
                <w:i w:val="0"/>
                <w:iCs w:val="0"/>
                <w:color w:val="333333"/>
                <w:kern w:val="0"/>
                <w:sz w:val="24"/>
                <w:szCs w:val="24"/>
                <w:u w:val="none"/>
                <w:lang w:val="en-US" w:eastAsia="zh-CN" w:bidi="ar"/>
              </w:rPr>
              <w:br w:type="textWrapping"/>
            </w:r>
            <w:r>
              <w:rPr>
                <w:rFonts w:hint="eastAsia" w:ascii="宋体" w:hAnsi="宋体" w:eastAsia="宋体" w:cs="宋体"/>
                <w:i w:val="0"/>
                <w:iCs w:val="0"/>
                <w:color w:val="333333"/>
                <w:kern w:val="0"/>
                <w:sz w:val="24"/>
                <w:szCs w:val="24"/>
                <w:u w:val="none"/>
                <w:lang w:val="en-US" w:eastAsia="zh-CN" w:bidi="ar"/>
              </w:rPr>
              <w:t>（2）根据合作伙伴提供的服务经验、综合实力、独特优势等与服务需求的匹配度、契合度进行对比评分，优（对比最优）：5分，良（对比一般）：1-5分，差（对比较差）：0-1分。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6" w:hRule="atLeast"/>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宋体" w:hAnsi="宋体" w:eastAsia="宋体" w:cs="宋体"/>
                <w:i w:val="0"/>
                <w:iCs w:val="0"/>
                <w:color w:val="003366"/>
                <w:sz w:val="24"/>
                <w:szCs w:val="24"/>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 宣传推广</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20" w:lineRule="exact"/>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10</w:t>
            </w:r>
          </w:p>
        </w:tc>
        <w:tc>
          <w:tcPr>
            <w:tcW w:w="35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（1）根据方案的先进性、针对性、可行性、有效性进行对比评分，优（对比最优）：5分，良（对比一般）：1-5分，差（对比较差）：0-1分。</w:t>
            </w:r>
            <w:r>
              <w:rPr>
                <w:rFonts w:hint="eastAsia" w:ascii="宋体" w:hAnsi="宋体" w:eastAsia="宋体" w:cs="宋体"/>
                <w:i w:val="0"/>
                <w:iCs w:val="0"/>
                <w:color w:val="333333"/>
                <w:kern w:val="0"/>
                <w:sz w:val="24"/>
                <w:szCs w:val="24"/>
                <w:u w:val="none"/>
                <w:lang w:val="en-US" w:eastAsia="zh-CN" w:bidi="ar"/>
              </w:rPr>
              <w:br w:type="textWrapping"/>
            </w:r>
            <w:r>
              <w:rPr>
                <w:rFonts w:hint="eastAsia" w:ascii="宋体" w:hAnsi="宋体" w:eastAsia="宋体" w:cs="宋体"/>
                <w:i w:val="0"/>
                <w:iCs w:val="0"/>
                <w:color w:val="333333"/>
                <w:kern w:val="0"/>
                <w:sz w:val="24"/>
                <w:szCs w:val="24"/>
                <w:u w:val="none"/>
                <w:lang w:val="en-US" w:eastAsia="zh-CN" w:bidi="ar"/>
              </w:rPr>
              <w:t>（2）根据合作伙伴提供的服务经验、综合实力、独特优势等与服务需求的匹配度、契合度进行对比评分，优（对比最优）：5分，良（对比一般）：1-5分，差（对比较差）：0-1分。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6" w:hRule="atLeast"/>
        </w:trPr>
        <w:tc>
          <w:tcPr>
            <w:tcW w:w="3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hint="eastAsia" w:ascii="宋体" w:hAnsi="宋体" w:eastAsia="宋体" w:cs="宋体"/>
                <w:i w:val="0"/>
                <w:iCs w:val="0"/>
                <w:color w:val="003366"/>
                <w:sz w:val="24"/>
                <w:szCs w:val="24"/>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 现场氛围设计</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20" w:lineRule="exact"/>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10</w:t>
            </w:r>
          </w:p>
        </w:tc>
        <w:tc>
          <w:tcPr>
            <w:tcW w:w="35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（1）根据方案的先进性、针对性、可行性、有效性进行对比评分，优（对比最优）：5分，良（对比一般）：1-5分，差（对比较差）：0-1分。</w:t>
            </w:r>
            <w:r>
              <w:rPr>
                <w:rFonts w:hint="eastAsia" w:ascii="宋体" w:hAnsi="宋体" w:eastAsia="宋体" w:cs="宋体"/>
                <w:i w:val="0"/>
                <w:iCs w:val="0"/>
                <w:color w:val="333333"/>
                <w:kern w:val="0"/>
                <w:sz w:val="24"/>
                <w:szCs w:val="24"/>
                <w:u w:val="none"/>
                <w:lang w:val="en-US" w:eastAsia="zh-CN" w:bidi="ar"/>
              </w:rPr>
              <w:br w:type="textWrapping"/>
            </w:r>
            <w:r>
              <w:rPr>
                <w:rFonts w:hint="eastAsia" w:ascii="宋体" w:hAnsi="宋体" w:eastAsia="宋体" w:cs="宋体"/>
                <w:i w:val="0"/>
                <w:iCs w:val="0"/>
                <w:color w:val="333333"/>
                <w:kern w:val="0"/>
                <w:sz w:val="24"/>
                <w:szCs w:val="24"/>
                <w:u w:val="none"/>
                <w:lang w:val="en-US" w:eastAsia="zh-CN" w:bidi="ar"/>
              </w:rPr>
              <w:t>（2）根据合作伙伴提供的服务经验、综合实力、独特优势等与服务需求的匹配度、契合度进行对比评分，优（对比最优）：5分，良（对比一般）：1-5分，差（对比较差）：0-1分。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0" w:hRule="atLeast"/>
        </w:trPr>
        <w:tc>
          <w:tcPr>
            <w:tcW w:w="398"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spacing w:line="320" w:lineRule="exact"/>
              <w:jc w:val="center"/>
              <w:rPr>
                <w:rFonts w:hint="eastAsia" w:ascii="宋体" w:hAnsi="宋体" w:eastAsia="宋体" w:cs="宋体"/>
                <w:i w:val="0"/>
                <w:iCs w:val="0"/>
                <w:color w:val="003366"/>
                <w:sz w:val="24"/>
                <w:szCs w:val="24"/>
                <w:u w:val="none"/>
              </w:rPr>
            </w:pPr>
          </w:p>
        </w:tc>
        <w:tc>
          <w:tcPr>
            <w:tcW w:w="705"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7. 述标</w:t>
            </w:r>
          </w:p>
        </w:tc>
        <w:tc>
          <w:tcPr>
            <w:tcW w:w="355"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320" w:lineRule="exact"/>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20</w:t>
            </w:r>
          </w:p>
        </w:tc>
        <w:tc>
          <w:tcPr>
            <w:tcW w:w="3541"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须陈述对本项目的理解，包括但不限于本项目与其他项目的需求的异同；服务本项目所具备的独特优势；对招商工作的设想；对宣传工作的设想等。</w:t>
            </w:r>
            <w:r>
              <w:rPr>
                <w:rFonts w:hint="eastAsia" w:ascii="宋体" w:hAnsi="宋体" w:eastAsia="宋体" w:cs="宋体"/>
                <w:i w:val="0"/>
                <w:iCs w:val="0"/>
                <w:color w:val="333333"/>
                <w:kern w:val="0"/>
                <w:sz w:val="24"/>
                <w:szCs w:val="24"/>
                <w:u w:val="none"/>
                <w:lang w:val="en-US" w:eastAsia="zh-CN" w:bidi="ar"/>
              </w:rPr>
              <w:br w:type="textWrapping"/>
            </w:r>
            <w:r>
              <w:rPr>
                <w:rFonts w:hint="eastAsia" w:ascii="宋体" w:hAnsi="宋体" w:eastAsia="宋体" w:cs="宋体"/>
                <w:i w:val="0"/>
                <w:iCs w:val="0"/>
                <w:color w:val="333333"/>
                <w:kern w:val="0"/>
                <w:sz w:val="24"/>
                <w:szCs w:val="24"/>
                <w:u w:val="none"/>
                <w:lang w:val="en-US" w:eastAsia="zh-CN" w:bidi="ar"/>
              </w:rPr>
              <w:t>根据述标内容的针对性、准确性、可行性与合作伙伴的业务发展的关联度、需求的匹配度进行对比评分，优（对比最优）：20分，良（对比一般）：5-15分，差（对比较差）：0-5分。</w:t>
            </w:r>
            <w:r>
              <w:rPr>
                <w:rFonts w:hint="eastAsia" w:ascii="宋体" w:hAnsi="宋体" w:eastAsia="宋体" w:cs="宋体"/>
                <w:i w:val="0"/>
                <w:iCs w:val="0"/>
                <w:color w:val="333333"/>
                <w:kern w:val="0"/>
                <w:sz w:val="24"/>
                <w:szCs w:val="24"/>
                <w:u w:val="none"/>
                <w:lang w:val="en-US" w:eastAsia="zh-CN" w:bidi="ar"/>
              </w:rPr>
              <w:br w:type="textWrapping"/>
            </w:r>
            <w:r>
              <w:rPr>
                <w:rFonts w:hint="eastAsia" w:ascii="宋体" w:hAnsi="宋体" w:eastAsia="宋体" w:cs="宋体"/>
                <w:i w:val="0"/>
                <w:iCs w:val="0"/>
                <w:color w:val="333333"/>
                <w:kern w:val="0"/>
                <w:sz w:val="24"/>
                <w:szCs w:val="24"/>
                <w:u w:val="none"/>
                <w:lang w:val="en-US" w:eastAsia="zh-CN" w:bidi="ar"/>
              </w:rPr>
              <w:t>注：由拟派项目团队中主要负责人之一完成述标，述标时间控制在15分钟以内，述标顺序抽签确定，述标人员携带身份原件进行身份核验。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39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003366"/>
                <w:sz w:val="24"/>
                <w:szCs w:val="24"/>
                <w:u w:val="none"/>
              </w:rPr>
            </w:pPr>
            <w:r>
              <w:rPr>
                <w:rFonts w:hint="eastAsia" w:ascii="宋体" w:hAnsi="宋体" w:eastAsia="宋体" w:cs="宋体"/>
                <w:i w:val="0"/>
                <w:iCs w:val="0"/>
                <w:color w:val="003366"/>
                <w:kern w:val="0"/>
                <w:sz w:val="24"/>
                <w:szCs w:val="24"/>
                <w:u w:val="none"/>
                <w:lang w:val="en-US" w:eastAsia="zh-CN" w:bidi="ar"/>
              </w:rPr>
              <w:t>二、技术部分（15分）</w:t>
            </w:r>
          </w:p>
        </w:tc>
        <w:tc>
          <w:tcPr>
            <w:tcW w:w="70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 团队能力</w:t>
            </w:r>
          </w:p>
        </w:tc>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320" w:lineRule="exact"/>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4</w:t>
            </w:r>
          </w:p>
        </w:tc>
        <w:tc>
          <w:tcPr>
            <w:tcW w:w="35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拥有专业活动策划、招商、宣传、设计及现场执行团队，核心成员需具备2年以上行业经验。提供团队核心成员简历及成功案例说明（每提供1人得1分，最高4分）。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7" w:hRule="atLeast"/>
        </w:trPr>
        <w:tc>
          <w:tcPr>
            <w:tcW w:w="39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left"/>
              <w:rPr>
                <w:rFonts w:hint="eastAsia" w:ascii="宋体" w:hAnsi="宋体" w:eastAsia="宋体" w:cs="宋体"/>
                <w:i w:val="0"/>
                <w:iCs w:val="0"/>
                <w:color w:val="003366"/>
                <w:sz w:val="24"/>
                <w:szCs w:val="24"/>
                <w:u w:val="none"/>
              </w:rPr>
            </w:pPr>
          </w:p>
        </w:tc>
        <w:tc>
          <w:tcPr>
            <w:tcW w:w="70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2. 资源整合</w:t>
            </w:r>
          </w:p>
        </w:tc>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320" w:lineRule="exact"/>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8</w:t>
            </w:r>
          </w:p>
        </w:tc>
        <w:tc>
          <w:tcPr>
            <w:tcW w:w="35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具备餐饮品牌、音乐资源、媒体渠道及赞助商资源整合能力，能提供资源合作清单或以往与餐饮品牌合作证明（每提供一项得2分，最高8分）。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9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left"/>
              <w:rPr>
                <w:rFonts w:hint="eastAsia" w:ascii="宋体" w:hAnsi="宋体" w:eastAsia="宋体" w:cs="宋体"/>
                <w:i w:val="0"/>
                <w:iCs w:val="0"/>
                <w:color w:val="003366"/>
                <w:sz w:val="24"/>
                <w:szCs w:val="24"/>
                <w:u w:val="none"/>
              </w:rPr>
            </w:pPr>
          </w:p>
        </w:tc>
        <w:tc>
          <w:tcPr>
            <w:tcW w:w="70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 过往案例</w:t>
            </w:r>
          </w:p>
        </w:tc>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320" w:lineRule="exact"/>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w:t>
            </w:r>
          </w:p>
        </w:tc>
        <w:tc>
          <w:tcPr>
            <w:tcW w:w="35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参与过广交会音乐美食节、广州嘉年华活动，或曾经主办过超20万人流的线下文化活动经验,可提供合同或媒体报道等。（每提供一次得1分，最高3分）。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9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003366"/>
                <w:sz w:val="24"/>
                <w:szCs w:val="24"/>
                <w:u w:val="none"/>
              </w:rPr>
            </w:pPr>
            <w:r>
              <w:rPr>
                <w:rFonts w:hint="eastAsia" w:ascii="宋体" w:hAnsi="宋体" w:eastAsia="宋体" w:cs="宋体"/>
                <w:i w:val="0"/>
                <w:iCs w:val="0"/>
                <w:color w:val="003366"/>
                <w:kern w:val="0"/>
                <w:sz w:val="24"/>
                <w:szCs w:val="24"/>
                <w:u w:val="none"/>
                <w:lang w:val="en-US" w:eastAsia="zh-CN" w:bidi="ar"/>
              </w:rPr>
              <w:t>三、经济部分（10分）</w:t>
            </w:r>
          </w:p>
        </w:tc>
        <w:tc>
          <w:tcPr>
            <w:tcW w:w="70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响应报价</w:t>
            </w:r>
          </w:p>
        </w:tc>
        <w:tc>
          <w:tcPr>
            <w:tcW w:w="3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320" w:lineRule="exact"/>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10</w:t>
            </w:r>
          </w:p>
        </w:tc>
        <w:tc>
          <w:tcPr>
            <w:tcW w:w="35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320" w:lineRule="exact"/>
              <w:jc w:val="left"/>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按填写比例进行排名，比例越低排名越高。第一名为10分，第二名9分，第三名8分，以此类推。若收入测算、分类费用预算，与收益分配比例不匹配，或超出控制价比例，则为0分。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110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320" w:lineRule="exact"/>
              <w:jc w:val="center"/>
              <w:textAlignment w:val="center"/>
              <w:rPr>
                <w:rFonts w:hint="default" w:ascii="宋体" w:hAnsi="宋体" w:eastAsia="宋体" w:cs="宋体"/>
                <w:i w:val="0"/>
                <w:iCs w:val="0"/>
                <w:color w:val="333333"/>
                <w:kern w:val="0"/>
                <w:sz w:val="24"/>
                <w:szCs w:val="24"/>
                <w:u w:val="none"/>
                <w:lang w:val="en-US" w:eastAsia="zh-CN" w:bidi="ar"/>
              </w:rPr>
            </w:pPr>
            <w:r>
              <w:rPr>
                <w:rFonts w:hint="eastAsia" w:ascii="宋体" w:hAnsi="宋体" w:eastAsia="宋体" w:cs="宋体"/>
                <w:i w:val="0"/>
                <w:iCs w:val="0"/>
                <w:color w:val="333333"/>
                <w:kern w:val="0"/>
                <w:sz w:val="24"/>
                <w:szCs w:val="24"/>
                <w:u w:val="none"/>
                <w:lang w:val="en-US" w:eastAsia="zh-CN" w:bidi="ar"/>
              </w:rPr>
              <w:t>合计</w:t>
            </w:r>
          </w:p>
        </w:tc>
        <w:tc>
          <w:tcPr>
            <w:tcW w:w="389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320" w:lineRule="exact"/>
              <w:jc w:val="center"/>
              <w:textAlignment w:val="center"/>
              <w:rPr>
                <w:rFonts w:hint="eastAsia" w:ascii="宋体" w:hAnsi="宋体" w:eastAsia="宋体" w:cs="宋体"/>
                <w:i w:val="0"/>
                <w:iCs w:val="0"/>
                <w:color w:val="333333"/>
                <w:kern w:val="0"/>
                <w:sz w:val="24"/>
                <w:szCs w:val="24"/>
                <w:u w:val="none"/>
                <w:lang w:val="en-US" w:eastAsia="zh-CN" w:bidi="ar"/>
              </w:rPr>
            </w:pPr>
            <w:r>
              <w:rPr>
                <w:rFonts w:hint="eastAsia" w:ascii="宋体" w:hAnsi="宋体" w:eastAsia="宋体" w:cs="宋体"/>
                <w:i w:val="0"/>
                <w:iCs w:val="0"/>
                <w:color w:val="333333"/>
                <w:kern w:val="0"/>
                <w:sz w:val="24"/>
                <w:szCs w:val="24"/>
                <w:u w:val="none"/>
                <w:lang w:val="en-US" w:eastAsia="zh-CN" w:bidi="ar"/>
              </w:rPr>
              <w:t>100分</w:t>
            </w:r>
          </w:p>
        </w:tc>
      </w:tr>
    </w:tbl>
    <w:p>
      <w:pPr>
        <w:autoSpaceDE w:val="0"/>
        <w:autoSpaceDN w:val="0"/>
        <w:adjustRightInd w:val="0"/>
        <w:spacing w:line="320" w:lineRule="exact"/>
        <w:ind w:firstLine="640" w:firstLineChars="200"/>
        <w:jc w:val="left"/>
        <w:rPr>
          <w:rFonts w:hint="eastAsia" w:ascii="仿宋_GB2312" w:hAnsi="仿宋_GB2312" w:eastAsia="仿宋_GB2312" w:cs="仿宋_GB2312"/>
          <w:color w:val="000000"/>
          <w:sz w:val="32"/>
          <w:szCs w:val="32"/>
        </w:rPr>
      </w:pPr>
    </w:p>
    <w:p>
      <w:pPr>
        <w:numPr>
          <w:ilvl w:val="255"/>
          <w:numId w:val="0"/>
        </w:numPr>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评审最终得分（满分100分）=</w:t>
      </w:r>
      <w:r>
        <w:rPr>
          <w:rFonts w:hint="eastAsia" w:ascii="仿宋_GB2312" w:hAnsi="仿宋_GB2312" w:eastAsia="仿宋_GB2312" w:cs="仿宋_GB2312"/>
          <w:sz w:val="32"/>
          <w:szCs w:val="32"/>
          <w:lang w:val="en-US" w:eastAsia="zh-CN"/>
        </w:rPr>
        <w:t>商务技术</w:t>
      </w:r>
      <w:r>
        <w:rPr>
          <w:rFonts w:ascii="仿宋_GB2312" w:hAnsi="仿宋_GB2312" w:eastAsia="仿宋_GB2312" w:cs="仿宋_GB2312"/>
          <w:sz w:val="32"/>
          <w:szCs w:val="32"/>
        </w:rPr>
        <w:t>（满分</w:t>
      </w:r>
      <w:r>
        <w:rPr>
          <w:rFonts w:hint="eastAsia" w:ascii="仿宋_GB2312" w:hAnsi="仿宋_GB2312" w:eastAsia="仿宋_GB2312" w:cs="仿宋_GB2312"/>
          <w:sz w:val="32"/>
          <w:szCs w:val="32"/>
          <w:lang w:val="en-US" w:eastAsia="zh-CN"/>
        </w:rPr>
        <w:t>75</w:t>
      </w:r>
      <w:r>
        <w:rPr>
          <w:rFonts w:ascii="仿宋_GB2312" w:hAnsi="仿宋_GB2312" w:eastAsia="仿宋_GB2312" w:cs="仿宋_GB2312"/>
          <w:sz w:val="32"/>
          <w:szCs w:val="32"/>
        </w:rPr>
        <w:t>分）+</w:t>
      </w:r>
      <w:r>
        <w:rPr>
          <w:rFonts w:hint="eastAsia" w:ascii="仿宋_GB2312" w:hAnsi="仿宋_GB2312" w:eastAsia="仿宋_GB2312" w:cs="仿宋_GB2312"/>
          <w:sz w:val="32"/>
          <w:szCs w:val="32"/>
        </w:rPr>
        <w:t>技术部分（满分15分）+经济部分（满分10分）</w:t>
      </w:r>
    </w:p>
    <w:p>
      <w:pPr>
        <w:numPr>
          <w:ilvl w:val="255"/>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重要说明：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1.分成比例、保证金金额等细节可根据双方谈判结果调整；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2.展位招商数保底</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0家为响应的前置条件，若报名单位响应则视为有能力完成，并提交响应保证金（3000元）。</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八、遴选流程</w:t>
      </w:r>
    </w:p>
    <w:p>
      <w:pPr>
        <w:ind w:firstLine="643" w:firstLineChars="200"/>
        <w:rPr>
          <w:rFonts w:hint="eastAsia" w:ascii="仿宋_GB2312" w:hAnsi="仿宋_GB2312" w:eastAsia="仿宋_GB2312" w:cs="仿宋_GB2312"/>
          <w:sz w:val="32"/>
          <w:szCs w:val="32"/>
        </w:rPr>
      </w:pPr>
      <w:r>
        <w:rPr>
          <w:rFonts w:hint="eastAsia" w:ascii="楷体" w:hAnsi="楷体" w:eastAsia="楷体" w:cs="楷体"/>
          <w:b/>
          <w:bCs/>
          <w:sz w:val="32"/>
          <w:szCs w:val="32"/>
        </w:rPr>
        <w:t>（一）报名阶段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提交公司资质文件、相关案例、团队介绍等文件。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截止时间：2026年8月2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w:t>
      </w:r>
    </w:p>
    <w:p>
      <w:pPr>
        <w:ind w:firstLine="643" w:firstLineChars="200"/>
        <w:rPr>
          <w:rFonts w:hint="eastAsia" w:ascii="仿宋_GB2312" w:hAnsi="仿宋_GB2312" w:eastAsia="仿宋_GB2312" w:cs="仿宋_GB2312"/>
          <w:sz w:val="32"/>
          <w:szCs w:val="32"/>
        </w:rPr>
      </w:pPr>
      <w:r>
        <w:rPr>
          <w:rFonts w:hint="eastAsia" w:ascii="楷体" w:hAnsi="楷体" w:eastAsia="楷体" w:cs="楷体"/>
          <w:b/>
          <w:bCs/>
          <w:sz w:val="32"/>
          <w:szCs w:val="32"/>
        </w:rPr>
        <w:t>（二）评审阶段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现场沟通及谈判、按评审办法提交方案。</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截止时间：2026年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日。</w:t>
      </w:r>
    </w:p>
    <w:p>
      <w:pPr>
        <w:ind w:firstLine="643" w:firstLineChars="200"/>
        <w:rPr>
          <w:rFonts w:hint="eastAsia" w:ascii="仿宋_GB2312" w:hAnsi="仿宋_GB2312" w:eastAsia="仿宋_GB2312" w:cs="仿宋_GB2312"/>
          <w:sz w:val="32"/>
          <w:szCs w:val="32"/>
        </w:rPr>
      </w:pPr>
      <w:r>
        <w:rPr>
          <w:rFonts w:hint="eastAsia" w:ascii="楷体" w:hAnsi="楷体" w:eastAsia="楷体" w:cs="楷体"/>
          <w:b/>
          <w:bCs/>
          <w:sz w:val="32"/>
          <w:szCs w:val="32"/>
        </w:rPr>
        <w:t>（三）签约阶段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w:t>
      </w:r>
      <w:r>
        <w:rPr>
          <w:rFonts w:hint="eastAsia" w:ascii="仿宋_GB2312" w:hAnsi="仿宋_GB2312" w:eastAsia="仿宋_GB2312" w:cs="仿宋_GB2312"/>
          <w:sz w:val="32"/>
          <w:szCs w:val="32"/>
          <w:lang w:val="en-US" w:eastAsia="zh-CN"/>
        </w:rPr>
        <w:t>选</w:t>
      </w:r>
      <w:r>
        <w:rPr>
          <w:rFonts w:hint="eastAsia" w:ascii="仿宋_GB2312" w:hAnsi="仿宋_GB2312" w:eastAsia="仿宋_GB2312" w:cs="仿宋_GB2312"/>
          <w:sz w:val="32"/>
          <w:szCs w:val="32"/>
        </w:rPr>
        <w:t>单位需在2个工作日内签订合作协议，并缴纳履约保证金（金额面议）。</w:t>
      </w:r>
    </w:p>
    <w:p>
      <w:pPr>
        <w:ind w:firstLine="640" w:firstLineChars="200"/>
        <w:rPr>
          <w:rFonts w:hint="eastAsia" w:ascii="仿宋_GB2312" w:hAnsi="仿宋_GB2312" w:eastAsia="仿宋_GB2312" w:cs="仿宋_GB2312"/>
          <w:sz w:val="32"/>
          <w:szCs w:val="32"/>
        </w:rPr>
      </w:pPr>
    </w:p>
    <w:p>
      <w:pPr>
        <w:ind w:firstLine="5120" w:firstLineChars="1600"/>
        <w:rPr>
          <w:rFonts w:hint="eastAsia" w:ascii="仿宋_GB2312" w:hAnsi="仿宋_GB2312" w:eastAsia="仿宋_GB2312" w:cs="仿宋_GB2312"/>
          <w:sz w:val="32"/>
          <w:szCs w:val="32"/>
        </w:rPr>
      </w:pPr>
    </w:p>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7FF2E4-4C74-4DA7-86EE-0A44A6C13DC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70643DFF-C743-422D-8FE9-D724692E8D52}"/>
  </w:font>
  <w:font w:name="仿宋_GB2312">
    <w:panose1 w:val="02010609030101010101"/>
    <w:charset w:val="86"/>
    <w:family w:val="modern"/>
    <w:pitch w:val="default"/>
    <w:sig w:usb0="00000001" w:usb1="080E0000" w:usb2="00000000" w:usb3="00000000" w:csb0="00040000" w:csb1="00000000"/>
    <w:embedRegular r:id="rId3" w:fontKey="{E01B4D63-3222-4CAC-B1D6-9972F0D88C4F}"/>
  </w:font>
  <w:font w:name="楷体">
    <w:panose1 w:val="02010609060101010101"/>
    <w:charset w:val="86"/>
    <w:family w:val="modern"/>
    <w:pitch w:val="default"/>
    <w:sig w:usb0="800002BF" w:usb1="38CF7CFA" w:usb2="00000016" w:usb3="00000000" w:csb0="00040001" w:csb1="00000000"/>
    <w:embedRegular r:id="rId4" w:fontKey="{1D8A3128-35C5-478E-A92E-3632084CACB4}"/>
  </w:font>
  <w:font w:name="仿宋">
    <w:panose1 w:val="02010609060101010101"/>
    <w:charset w:val="86"/>
    <w:family w:val="modern"/>
    <w:pitch w:val="default"/>
    <w:sig w:usb0="800002BF" w:usb1="38CF7CFA" w:usb2="00000016" w:usb3="00000000" w:csb0="00040001" w:csb1="00000000"/>
    <w:embedRegular r:id="rId5" w:fontKey="{86582CB7-DD0D-48D9-AA3C-F9B47CE8C92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D8285C"/>
    <w:multiLevelType w:val="singleLevel"/>
    <w:tmpl w:val="85D8285C"/>
    <w:lvl w:ilvl="0" w:tentative="0">
      <w:start w:val="1"/>
      <w:numFmt w:val="chineseCounting"/>
      <w:suff w:val="nothing"/>
      <w:lvlText w:val="%1、"/>
      <w:lvlJc w:val="left"/>
      <w:rPr>
        <w:rFonts w:hint="eastAsia"/>
      </w:rPr>
    </w:lvl>
  </w:abstractNum>
  <w:abstractNum w:abstractNumId="1">
    <w:nsid w:val="DD965732"/>
    <w:multiLevelType w:val="singleLevel"/>
    <w:tmpl w:val="DD965732"/>
    <w:lvl w:ilvl="0" w:tentative="0">
      <w:start w:val="1"/>
      <w:numFmt w:val="chineseCounting"/>
      <w:suff w:val="nothing"/>
      <w:lvlText w:val="（%1）"/>
      <w:lvlJc w:val="left"/>
      <w:pPr>
        <w:ind w:left="0" w:firstLine="420"/>
      </w:pPr>
      <w:rPr>
        <w:rFonts w:hint="eastAsia"/>
      </w:rPr>
    </w:lvl>
  </w:abstractNum>
  <w:abstractNum w:abstractNumId="2">
    <w:nsid w:val="E173C0C0"/>
    <w:multiLevelType w:val="singleLevel"/>
    <w:tmpl w:val="E173C0C0"/>
    <w:lvl w:ilvl="0" w:tentative="0">
      <w:start w:val="1"/>
      <w:numFmt w:val="chineseCounting"/>
      <w:suff w:val="nothing"/>
      <w:lvlText w:val="（%1）"/>
      <w:lvlJc w:val="left"/>
      <w:pPr>
        <w:ind w:left="0" w:firstLine="420"/>
      </w:pPr>
      <w:rPr>
        <w:rFonts w:hint="eastAsia"/>
      </w:rPr>
    </w:lvl>
  </w:abstractNum>
  <w:abstractNum w:abstractNumId="3">
    <w:nsid w:val="F073FAAC"/>
    <w:multiLevelType w:val="singleLevel"/>
    <w:tmpl w:val="F073FAAC"/>
    <w:lvl w:ilvl="0" w:tentative="0">
      <w:start w:val="1"/>
      <w:numFmt w:val="chineseCounting"/>
      <w:suff w:val="nothing"/>
      <w:lvlText w:val="（%1）"/>
      <w:lvlJc w:val="left"/>
      <w:pPr>
        <w:ind w:left="0" w:firstLine="420"/>
      </w:pPr>
      <w:rPr>
        <w:rFonts w:hint="eastAsia"/>
      </w:rPr>
    </w:lvl>
  </w:abstractNum>
  <w:abstractNum w:abstractNumId="4">
    <w:nsid w:val="FBD88628"/>
    <w:multiLevelType w:val="singleLevel"/>
    <w:tmpl w:val="FBD88628"/>
    <w:lvl w:ilvl="0" w:tentative="0">
      <w:start w:val="6"/>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ZlY2U3ZjhiYzdhNjk2NTQwNmFiZmQxOTMyNjlhMDMifQ=="/>
  </w:docVars>
  <w:rsids>
    <w:rsidRoot w:val="309D4BA0"/>
    <w:rsid w:val="002832E5"/>
    <w:rsid w:val="002F1F3E"/>
    <w:rsid w:val="00304243"/>
    <w:rsid w:val="00320EF6"/>
    <w:rsid w:val="004A1E40"/>
    <w:rsid w:val="005942E9"/>
    <w:rsid w:val="005B09FF"/>
    <w:rsid w:val="007E5839"/>
    <w:rsid w:val="008055A0"/>
    <w:rsid w:val="0082592C"/>
    <w:rsid w:val="00831630"/>
    <w:rsid w:val="00853B87"/>
    <w:rsid w:val="008C587C"/>
    <w:rsid w:val="008E696F"/>
    <w:rsid w:val="009510B1"/>
    <w:rsid w:val="009F5C5C"/>
    <w:rsid w:val="00A113D5"/>
    <w:rsid w:val="00AC5978"/>
    <w:rsid w:val="00B02495"/>
    <w:rsid w:val="00BF30AA"/>
    <w:rsid w:val="00C61174"/>
    <w:rsid w:val="00D00A23"/>
    <w:rsid w:val="00D14A20"/>
    <w:rsid w:val="00D316DE"/>
    <w:rsid w:val="00D319B6"/>
    <w:rsid w:val="00D540CA"/>
    <w:rsid w:val="00D97092"/>
    <w:rsid w:val="00F32388"/>
    <w:rsid w:val="0337738D"/>
    <w:rsid w:val="044A4CFD"/>
    <w:rsid w:val="08C73BBD"/>
    <w:rsid w:val="0DB00467"/>
    <w:rsid w:val="11FB0B80"/>
    <w:rsid w:val="12F47048"/>
    <w:rsid w:val="177E634B"/>
    <w:rsid w:val="1CED32C6"/>
    <w:rsid w:val="1DCB3867"/>
    <w:rsid w:val="1E570EF0"/>
    <w:rsid w:val="24B108F5"/>
    <w:rsid w:val="270A5318"/>
    <w:rsid w:val="2C780D39"/>
    <w:rsid w:val="309D4BA0"/>
    <w:rsid w:val="343C6FA3"/>
    <w:rsid w:val="375D0BB3"/>
    <w:rsid w:val="3AC917E5"/>
    <w:rsid w:val="3E2A4912"/>
    <w:rsid w:val="41F540C0"/>
    <w:rsid w:val="45DB6F91"/>
    <w:rsid w:val="5DF27C0F"/>
    <w:rsid w:val="5EF030C4"/>
    <w:rsid w:val="5FBE036F"/>
    <w:rsid w:val="69432F0E"/>
    <w:rsid w:val="6A344243"/>
    <w:rsid w:val="738243ED"/>
    <w:rsid w:val="74BA68D7"/>
    <w:rsid w:val="FAAB6D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annotation subject"/>
    <w:basedOn w:val="2"/>
    <w:next w:val="2"/>
    <w:link w:val="13"/>
    <w:qFormat/>
    <w:uiPriority w:val="0"/>
    <w:rPr>
      <w:b/>
      <w:bCs/>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qFormat/>
    <w:uiPriority w:val="0"/>
    <w:rPr>
      <w:sz w:val="21"/>
      <w:szCs w:val="21"/>
    </w:rPr>
  </w:style>
  <w:style w:type="paragraph" w:customStyle="1" w:styleId="10">
    <w:name w:val="正文缩进1"/>
    <w:basedOn w:val="1"/>
    <w:qFormat/>
    <w:uiPriority w:val="0"/>
    <w:pPr>
      <w:ind w:firstLine="420" w:firstLineChars="200"/>
    </w:pPr>
    <w:rPr>
      <w:rFonts w:cs="Times New Roman"/>
    </w:rPr>
  </w:style>
  <w:style w:type="paragraph" w:customStyle="1" w:styleId="11">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2">
    <w:name w:val="批注文字 字符"/>
    <w:basedOn w:val="8"/>
    <w:link w:val="2"/>
    <w:qFormat/>
    <w:uiPriority w:val="0"/>
    <w:rPr>
      <w:kern w:val="2"/>
      <w:sz w:val="21"/>
      <w:szCs w:val="24"/>
    </w:rPr>
  </w:style>
  <w:style w:type="character" w:customStyle="1" w:styleId="13">
    <w:name w:val="批注主题 字符"/>
    <w:basedOn w:val="12"/>
    <w:link w:val="5"/>
    <w:qFormat/>
    <w:uiPriority w:val="0"/>
    <w:rPr>
      <w:b/>
      <w:bCs/>
      <w:kern w:val="2"/>
      <w:sz w:val="21"/>
      <w:szCs w:val="24"/>
    </w:r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3078</Words>
  <Characters>3177</Characters>
  <Lines>140</Lines>
  <Paragraphs>130</Paragraphs>
  <TotalTime>1</TotalTime>
  <ScaleCrop>false</ScaleCrop>
  <LinksUpToDate>false</LinksUpToDate>
  <CharactersWithSpaces>3197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2026-08-04T09:11:00Z</dcterms:created>
  <dc:creator>陈洁盈</dc:creator>
  <cp:lastModifiedBy>金卓</cp:lastModifiedBy>
  <dcterms:modified xsi:type="dcterms:W3CDTF">2026-08-21T11:31:39Z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3C0808DF3DA9453DAE33BCF5B23C39ED_13</vt:lpwstr>
  </property>
  <property fmtid="{D5CDD505-2E9C-101B-9397-08002B2CF9AE}" pid="4" name="KSOTemplateDocerSaveRecord">
    <vt:lpwstr>eyJoZGlkIjoiN2JmOGQ3NGYxZWMzYzY5ODY3MGEwZjdiZDIwNjBhYzEiLCJ1c2VySWQiOiIxMzA5MzkwNTQ2In0=</vt:lpwstr>
  </property>
</Properties>
</file>